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B366DF" w14:textId="77777777" w:rsidR="00753956" w:rsidRPr="00E164A0" w:rsidRDefault="00EB153E" w:rsidP="00E164A0">
      <w:pPr>
        <w:jc w:val="right"/>
        <w:rPr>
          <w:b/>
        </w:rPr>
      </w:pPr>
      <w:r>
        <w:rPr>
          <w:b/>
        </w:rPr>
        <w:t>Allegato A</w:t>
      </w:r>
      <w:r w:rsidR="00431701">
        <w:rPr>
          <w:b/>
        </w:rPr>
        <w:t xml:space="preserve"> </w:t>
      </w:r>
    </w:p>
    <w:p w14:paraId="337E52A1" w14:textId="7EBB9742" w:rsidR="00135216" w:rsidRDefault="00753956">
      <w:pPr>
        <w:rPr>
          <w:b/>
        </w:rPr>
      </w:pPr>
      <w:r w:rsidRPr="00753956">
        <w:rPr>
          <w:b/>
        </w:rPr>
        <w:t>SPESA</w:t>
      </w:r>
      <w:r w:rsidR="00F10648">
        <w:rPr>
          <w:b/>
        </w:rPr>
        <w:t xml:space="preserve"> - corrente</w:t>
      </w:r>
      <w:r w:rsidR="00FE1515">
        <w:rPr>
          <w:b/>
        </w:rPr>
        <w:t xml:space="preserve"> - variazioni di sintesi</w:t>
      </w:r>
      <w:r w:rsidR="00EF012D">
        <w:rPr>
          <w:b/>
        </w:rPr>
        <w:t xml:space="preserve"> per missione/programma/titoli</w:t>
      </w:r>
    </w:p>
    <w:p w14:paraId="18724829" w14:textId="77777777" w:rsidR="00990128" w:rsidRPr="00753956" w:rsidRDefault="00990128">
      <w:pPr>
        <w:rPr>
          <w:b/>
        </w:rPr>
      </w:pPr>
    </w:p>
    <w:tbl>
      <w:tblPr>
        <w:tblW w:w="53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6"/>
        <w:gridCol w:w="2193"/>
        <w:gridCol w:w="1215"/>
        <w:gridCol w:w="2361"/>
        <w:gridCol w:w="870"/>
        <w:gridCol w:w="1183"/>
        <w:gridCol w:w="2441"/>
        <w:gridCol w:w="1767"/>
        <w:gridCol w:w="2535"/>
      </w:tblGrid>
      <w:tr w:rsidR="00990128" w:rsidRPr="00E164A0" w14:paraId="1E84FAA1" w14:textId="77777777" w:rsidTr="00092389">
        <w:trPr>
          <w:trHeight w:val="864"/>
          <w:tblHeader/>
          <w:jc w:val="center"/>
        </w:trPr>
        <w:tc>
          <w:tcPr>
            <w:tcW w:w="311" w:type="pct"/>
            <w:shd w:val="clear" w:color="000000" w:fill="F2F2F2"/>
            <w:vAlign w:val="center"/>
            <w:hideMark/>
          </w:tcPr>
          <w:p w14:paraId="1034A742" w14:textId="77777777" w:rsidR="00990128" w:rsidRPr="00E164A0" w:rsidRDefault="00990128" w:rsidP="005F612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164A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Missione</w:t>
            </w:r>
          </w:p>
        </w:tc>
        <w:tc>
          <w:tcPr>
            <w:tcW w:w="706" w:type="pct"/>
            <w:shd w:val="clear" w:color="000000" w:fill="F2F2F2"/>
            <w:vAlign w:val="center"/>
            <w:hideMark/>
          </w:tcPr>
          <w:p w14:paraId="4F014E5E" w14:textId="77777777" w:rsidR="00990128" w:rsidRPr="00E164A0" w:rsidRDefault="00990128" w:rsidP="005F612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164A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Missione</w:t>
            </w:r>
          </w:p>
        </w:tc>
        <w:tc>
          <w:tcPr>
            <w:tcW w:w="391" w:type="pct"/>
            <w:shd w:val="clear" w:color="000000" w:fill="F2F2F2"/>
            <w:vAlign w:val="center"/>
            <w:hideMark/>
          </w:tcPr>
          <w:p w14:paraId="00283941" w14:textId="77777777" w:rsidR="00990128" w:rsidRPr="00E164A0" w:rsidRDefault="00990128" w:rsidP="005F612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164A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Programma</w:t>
            </w:r>
          </w:p>
        </w:tc>
        <w:tc>
          <w:tcPr>
            <w:tcW w:w="760" w:type="pct"/>
            <w:shd w:val="clear" w:color="000000" w:fill="F2F2F2"/>
            <w:vAlign w:val="center"/>
            <w:hideMark/>
          </w:tcPr>
          <w:p w14:paraId="22292292" w14:textId="77777777" w:rsidR="00990128" w:rsidRPr="00E164A0" w:rsidRDefault="00990128" w:rsidP="005F612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164A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Programma</w:t>
            </w:r>
          </w:p>
        </w:tc>
        <w:tc>
          <w:tcPr>
            <w:tcW w:w="280" w:type="pct"/>
            <w:shd w:val="clear" w:color="000000" w:fill="F2F2F2"/>
            <w:vAlign w:val="center"/>
            <w:hideMark/>
          </w:tcPr>
          <w:p w14:paraId="1F1FF81C" w14:textId="77777777" w:rsidR="00990128" w:rsidRPr="00E164A0" w:rsidRDefault="00990128" w:rsidP="005F612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164A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Titolo (codice)</w:t>
            </w:r>
          </w:p>
        </w:tc>
        <w:tc>
          <w:tcPr>
            <w:tcW w:w="381" w:type="pct"/>
            <w:shd w:val="clear" w:color="000000" w:fill="F2F2F2"/>
            <w:vAlign w:val="center"/>
            <w:hideMark/>
          </w:tcPr>
          <w:p w14:paraId="287E0D76" w14:textId="77777777" w:rsidR="00990128" w:rsidRPr="00E164A0" w:rsidRDefault="00990128" w:rsidP="005F612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164A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Titolo</w:t>
            </w:r>
          </w:p>
        </w:tc>
        <w:tc>
          <w:tcPr>
            <w:tcW w:w="786" w:type="pct"/>
            <w:shd w:val="clear" w:color="000000" w:fill="F2F2F2"/>
            <w:vAlign w:val="center"/>
            <w:hideMark/>
          </w:tcPr>
          <w:p w14:paraId="06D71FB1" w14:textId="77777777" w:rsidR="00990128" w:rsidRPr="00E164A0" w:rsidRDefault="00990128" w:rsidP="0006733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164A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Variazione in aumento competenza e cassa anno 202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9" w:type="pct"/>
            <w:shd w:val="clear" w:color="000000" w:fill="F2F2F2"/>
            <w:vAlign w:val="center"/>
          </w:tcPr>
          <w:p w14:paraId="40B120B6" w14:textId="6063F76E" w:rsidR="00990128" w:rsidRPr="00E164A0" w:rsidRDefault="00990128" w:rsidP="0099012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164A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Variazione in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diminuzione</w:t>
            </w:r>
            <w:r w:rsidRPr="00E164A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competenza e cassa anno 202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16" w:type="pct"/>
            <w:shd w:val="clear" w:color="000000" w:fill="F2F2F2"/>
            <w:vAlign w:val="center"/>
          </w:tcPr>
          <w:p w14:paraId="05E78925" w14:textId="458955E6" w:rsidR="00990128" w:rsidRPr="00E164A0" w:rsidRDefault="00990128" w:rsidP="005F612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164A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Motivazione</w:t>
            </w:r>
          </w:p>
        </w:tc>
      </w:tr>
      <w:tr w:rsidR="00F10648" w:rsidRPr="00E164A0" w14:paraId="0EAC6B80" w14:textId="77777777" w:rsidTr="00092389">
        <w:trPr>
          <w:trHeight w:val="762"/>
          <w:jc w:val="center"/>
        </w:trPr>
        <w:tc>
          <w:tcPr>
            <w:tcW w:w="311" w:type="pct"/>
            <w:shd w:val="clear" w:color="auto" w:fill="auto"/>
            <w:vAlign w:val="center"/>
            <w:hideMark/>
          </w:tcPr>
          <w:p w14:paraId="6E8FB014" w14:textId="6D606F1C" w:rsidR="00F10648" w:rsidRPr="00284113" w:rsidRDefault="00F10648" w:rsidP="005F6128">
            <w:pPr>
              <w:jc w:val="center"/>
              <w:rPr>
                <w:rFonts w:ascii="Calibri" w:hAnsi="Calibri"/>
                <w:b/>
                <w:color w:val="000000"/>
              </w:rPr>
            </w:pPr>
            <w:bookmarkStart w:id="0" w:name="_Hlk504135374"/>
            <w:r w:rsidRPr="00284113">
              <w:rPr>
                <w:rFonts w:ascii="Calibri" w:hAnsi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1962D4F2" w14:textId="617BAA24" w:rsidR="00F10648" w:rsidRPr="00092389" w:rsidRDefault="00F10648" w:rsidP="005F6128">
            <w:pPr>
              <w:jc w:val="center"/>
              <w:rPr>
                <w:rFonts w:ascii="Calibri" w:hAnsi="Calibri"/>
                <w:color w:val="000000"/>
              </w:rPr>
            </w:pPr>
            <w:r w:rsidRPr="00092389">
              <w:rPr>
                <w:rFonts w:ascii="Calibri" w:hAnsi="Calibri"/>
                <w:color w:val="000000"/>
                <w:sz w:val="22"/>
                <w:szCs w:val="22"/>
              </w:rPr>
              <w:t>Servizi istituzionali, generali e di gestione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7F900E1E" w14:textId="55764853" w:rsidR="00F10648" w:rsidRPr="00284113" w:rsidRDefault="00F10648" w:rsidP="005F6128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284113">
              <w:rPr>
                <w:rFonts w:ascii="Calibri" w:hAnsi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760" w:type="pct"/>
            <w:shd w:val="clear" w:color="auto" w:fill="auto"/>
            <w:vAlign w:val="center"/>
            <w:hideMark/>
          </w:tcPr>
          <w:p w14:paraId="547A9CAB" w14:textId="56BFE57A" w:rsidR="00F10648" w:rsidRPr="00092389" w:rsidRDefault="00F10648" w:rsidP="005F6128">
            <w:pPr>
              <w:jc w:val="center"/>
              <w:rPr>
                <w:rFonts w:ascii="Calibri" w:hAnsi="Calibri"/>
                <w:color w:val="000000"/>
              </w:rPr>
            </w:pPr>
            <w:r w:rsidRPr="00092389">
              <w:rPr>
                <w:rFonts w:ascii="Calibri" w:hAnsi="Calibri"/>
                <w:color w:val="000000"/>
                <w:sz w:val="22"/>
                <w:szCs w:val="22"/>
              </w:rPr>
              <w:t>Organi istituzionali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7ED92B0D" w14:textId="77777777" w:rsidR="00F10648" w:rsidRPr="00284113" w:rsidRDefault="00F10648" w:rsidP="005F6128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284113">
              <w:rPr>
                <w:rFonts w:ascii="Calibri" w:hAnsi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381" w:type="pct"/>
            <w:shd w:val="clear" w:color="auto" w:fill="auto"/>
            <w:vAlign w:val="center"/>
            <w:hideMark/>
          </w:tcPr>
          <w:p w14:paraId="6C55973E" w14:textId="77777777" w:rsidR="00F10648" w:rsidRPr="00092389" w:rsidRDefault="00F10648" w:rsidP="005F6128">
            <w:pPr>
              <w:jc w:val="center"/>
              <w:rPr>
                <w:rFonts w:ascii="Calibri" w:hAnsi="Calibri"/>
                <w:color w:val="000000"/>
              </w:rPr>
            </w:pPr>
            <w:r w:rsidRPr="00092389">
              <w:rPr>
                <w:rFonts w:ascii="Calibri" w:hAnsi="Calibri"/>
                <w:color w:val="000000"/>
                <w:sz w:val="22"/>
                <w:szCs w:val="22"/>
              </w:rPr>
              <w:t>Spese correnti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14:paraId="2A9819BD" w14:textId="1AD362E6" w:rsidR="00F10648" w:rsidRPr="00092389" w:rsidRDefault="00F10648" w:rsidP="006C21C0">
            <w:pPr>
              <w:pStyle w:val="Paragrafoelenco"/>
              <w:ind w:left="39"/>
              <w:rPr>
                <w:rFonts w:ascii="Arial" w:hAnsi="Arial" w:cs="Arial"/>
              </w:rPr>
            </w:pPr>
          </w:p>
        </w:tc>
        <w:tc>
          <w:tcPr>
            <w:tcW w:w="569" w:type="pct"/>
            <w:vAlign w:val="center"/>
          </w:tcPr>
          <w:p w14:paraId="5C9B10FA" w14:textId="2B8FE9E9" w:rsidR="00F10648" w:rsidRPr="00092389" w:rsidRDefault="00F10648" w:rsidP="00990128">
            <w:pPr>
              <w:jc w:val="center"/>
              <w:rPr>
                <w:rFonts w:ascii="Arial" w:hAnsi="Arial" w:cs="Arial"/>
              </w:rPr>
            </w:pPr>
            <w:r w:rsidRPr="00092389">
              <w:rPr>
                <w:rFonts w:ascii="Arial" w:hAnsi="Arial" w:cs="Arial"/>
              </w:rPr>
              <w:t>-180.295,87</w:t>
            </w:r>
          </w:p>
        </w:tc>
        <w:tc>
          <w:tcPr>
            <w:tcW w:w="816" w:type="pct"/>
            <w:vMerge w:val="restart"/>
            <w:vAlign w:val="center"/>
          </w:tcPr>
          <w:p w14:paraId="28203703" w14:textId="6640BCE2" w:rsidR="00F10648" w:rsidRPr="007B6258" w:rsidRDefault="00F10648" w:rsidP="007B625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2C9C72A6" w14:textId="6706B30E" w:rsidR="00F10648" w:rsidRPr="007B6258" w:rsidRDefault="00F10648" w:rsidP="007B625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B6258">
              <w:rPr>
                <w:rFonts w:ascii="Calibri" w:hAnsi="Calibri"/>
                <w:color w:val="000000"/>
                <w:sz w:val="22"/>
                <w:szCs w:val="22"/>
              </w:rPr>
              <w:t xml:space="preserve">Riequilibrio complessivo delle risorse finanziarie allocate nel bilancio di previsione del Consiglio </w:t>
            </w:r>
            <w:r w:rsidR="00E13824" w:rsidRPr="007B6258">
              <w:rPr>
                <w:rFonts w:ascii="Calibri" w:hAnsi="Calibri"/>
                <w:color w:val="000000"/>
                <w:sz w:val="22"/>
                <w:szCs w:val="22"/>
              </w:rPr>
              <w:t xml:space="preserve">che </w:t>
            </w:r>
            <w:r w:rsidRPr="007B6258">
              <w:rPr>
                <w:rFonts w:ascii="Calibri" w:hAnsi="Calibri"/>
                <w:color w:val="000000"/>
                <w:sz w:val="22"/>
                <w:szCs w:val="22"/>
              </w:rPr>
              <w:t xml:space="preserve"> consent</w:t>
            </w:r>
            <w:r w:rsidR="00E13824" w:rsidRPr="007B6258">
              <w:rPr>
                <w:rFonts w:ascii="Calibri" w:hAnsi="Calibri"/>
                <w:color w:val="000000"/>
                <w:sz w:val="22"/>
                <w:szCs w:val="22"/>
              </w:rPr>
              <w:t>e</w:t>
            </w:r>
            <w:r w:rsidRPr="007B6258">
              <w:rPr>
                <w:rFonts w:ascii="Calibri" w:hAnsi="Calibri"/>
                <w:color w:val="000000"/>
                <w:sz w:val="22"/>
                <w:szCs w:val="22"/>
              </w:rPr>
              <w:t xml:space="preserve"> un loro più efficace utilizzo con particolare riferiment</w:t>
            </w:r>
            <w:r w:rsidR="00E13824" w:rsidRPr="007B6258">
              <w:rPr>
                <w:rFonts w:ascii="Calibri" w:hAnsi="Calibri"/>
                <w:color w:val="000000"/>
                <w:sz w:val="22"/>
                <w:szCs w:val="22"/>
              </w:rPr>
              <w:t xml:space="preserve">o </w:t>
            </w:r>
            <w:r w:rsidRPr="007B6258">
              <w:rPr>
                <w:rFonts w:ascii="Calibri" w:hAnsi="Calibri"/>
                <w:color w:val="000000"/>
                <w:sz w:val="22"/>
                <w:szCs w:val="22"/>
              </w:rPr>
              <w:t>alla copertura dei maggiori costi derivanti dall’elevato innalzamento dei prezzi di fornitura di energia elettrica e gas</w:t>
            </w:r>
            <w:r w:rsidR="00E13824" w:rsidRPr="007B6258">
              <w:rPr>
                <w:rFonts w:ascii="Calibri" w:hAnsi="Calibri"/>
                <w:color w:val="000000"/>
                <w:sz w:val="22"/>
                <w:szCs w:val="22"/>
              </w:rPr>
              <w:t xml:space="preserve"> nell’anno 2022</w:t>
            </w:r>
          </w:p>
          <w:p w14:paraId="00BEA6CB" w14:textId="08E70248" w:rsidR="00F10648" w:rsidRPr="007B6258" w:rsidRDefault="00F10648" w:rsidP="007B625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6295CBD5" w14:textId="77777777" w:rsidR="00F10648" w:rsidRPr="007B6258" w:rsidRDefault="00F10648" w:rsidP="007B625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B6258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  <w:p w14:paraId="2D116069" w14:textId="77777777" w:rsidR="00F10648" w:rsidRPr="00067338" w:rsidRDefault="00F10648" w:rsidP="00CC0A14">
            <w:pPr>
              <w:jc w:val="both"/>
              <w:rPr>
                <w:rFonts w:ascii="Arial" w:hAnsi="Arial" w:cs="Arial"/>
              </w:rPr>
            </w:pPr>
          </w:p>
        </w:tc>
      </w:tr>
      <w:tr w:rsidR="00F10648" w:rsidRPr="00E164A0" w14:paraId="2FFEA73E" w14:textId="77777777" w:rsidTr="00092389">
        <w:trPr>
          <w:trHeight w:val="774"/>
          <w:jc w:val="center"/>
        </w:trPr>
        <w:tc>
          <w:tcPr>
            <w:tcW w:w="311" w:type="pct"/>
            <w:shd w:val="clear" w:color="auto" w:fill="auto"/>
            <w:vAlign w:val="center"/>
          </w:tcPr>
          <w:p w14:paraId="07A4B3D4" w14:textId="2DF1D876" w:rsidR="00F10648" w:rsidRPr="00284113" w:rsidRDefault="00F10648" w:rsidP="000054DD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284113">
              <w:rPr>
                <w:rFonts w:ascii="Calibri" w:hAnsi="Calibri"/>
                <w:b/>
                <w:color w:val="000000"/>
              </w:rPr>
              <w:t>1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54938F30" w14:textId="4D59280F" w:rsidR="00F10648" w:rsidRPr="00E164A0" w:rsidRDefault="00F10648" w:rsidP="000054DD">
            <w:pPr>
              <w:jc w:val="center"/>
              <w:rPr>
                <w:rFonts w:ascii="Calibri" w:hAnsi="Calibri"/>
                <w:color w:val="000000"/>
              </w:rPr>
            </w:pPr>
            <w:r w:rsidRPr="001B5BB7">
              <w:rPr>
                <w:rFonts w:ascii="Calibri" w:hAnsi="Calibri"/>
                <w:color w:val="000000"/>
                <w:sz w:val="22"/>
                <w:szCs w:val="22"/>
              </w:rPr>
              <w:t>Servizi istituzionali, generali e di gestione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BE90B5A" w14:textId="41183BF9" w:rsidR="00F10648" w:rsidRPr="00284113" w:rsidRDefault="00F10648" w:rsidP="000054DD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284113">
              <w:rPr>
                <w:rFonts w:ascii="Calibri" w:hAnsi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760" w:type="pct"/>
            <w:shd w:val="clear" w:color="auto" w:fill="auto"/>
            <w:vAlign w:val="center"/>
          </w:tcPr>
          <w:p w14:paraId="766554DB" w14:textId="1495EB4D" w:rsidR="00F10648" w:rsidRPr="00E164A0" w:rsidRDefault="00F10648" w:rsidP="000054DD">
            <w:pPr>
              <w:jc w:val="center"/>
              <w:rPr>
                <w:rFonts w:ascii="Calibri" w:hAnsi="Calibri"/>
                <w:color w:val="000000"/>
              </w:rPr>
            </w:pPr>
            <w:r w:rsidRPr="001B5BB7">
              <w:rPr>
                <w:rFonts w:ascii="Calibri" w:hAnsi="Calibri"/>
                <w:color w:val="000000"/>
                <w:sz w:val="22"/>
                <w:szCs w:val="22"/>
              </w:rPr>
              <w:t xml:space="preserve">Segreteria generale      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28755B9B" w14:textId="77777777" w:rsidR="00F10648" w:rsidRPr="00284113" w:rsidRDefault="00F10648" w:rsidP="002D7157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284113">
              <w:rPr>
                <w:rFonts w:ascii="Calibri" w:hAnsi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39482180" w14:textId="77777777" w:rsidR="00F10648" w:rsidRPr="00E164A0" w:rsidRDefault="00F10648" w:rsidP="00092389">
            <w:pPr>
              <w:jc w:val="center"/>
              <w:rPr>
                <w:rFonts w:ascii="Calibri" w:hAnsi="Calibri"/>
                <w:color w:val="000000"/>
              </w:rPr>
            </w:pPr>
            <w:r w:rsidRPr="00E164A0">
              <w:rPr>
                <w:rFonts w:ascii="Calibri" w:hAnsi="Calibri"/>
                <w:color w:val="000000"/>
                <w:sz w:val="22"/>
                <w:szCs w:val="22"/>
              </w:rPr>
              <w:t>Spese correnti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1F39FD53" w14:textId="5670AA16" w:rsidR="00F10648" w:rsidRPr="00092389" w:rsidRDefault="00F10648" w:rsidP="00EB15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9" w:type="pct"/>
            <w:vAlign w:val="center"/>
          </w:tcPr>
          <w:p w14:paraId="171E8B13" w14:textId="476F6ABE" w:rsidR="00F10648" w:rsidRPr="00092389" w:rsidRDefault="00F10648" w:rsidP="001B5BB7">
            <w:pPr>
              <w:jc w:val="center"/>
              <w:rPr>
                <w:rFonts w:ascii="Arial" w:hAnsi="Arial" w:cs="Arial"/>
              </w:rPr>
            </w:pPr>
            <w:r w:rsidRPr="00092389">
              <w:rPr>
                <w:rFonts w:ascii="Arial" w:hAnsi="Arial" w:cs="Arial"/>
              </w:rPr>
              <w:t>-1.500,00</w:t>
            </w:r>
          </w:p>
        </w:tc>
        <w:tc>
          <w:tcPr>
            <w:tcW w:w="816" w:type="pct"/>
            <w:vMerge/>
            <w:vAlign w:val="center"/>
          </w:tcPr>
          <w:p w14:paraId="604AC89A" w14:textId="77777777" w:rsidR="00F10648" w:rsidRPr="00092389" w:rsidRDefault="00F10648" w:rsidP="00CC0A1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  <w:tr w:rsidR="00F10648" w:rsidRPr="00E164A0" w14:paraId="00C0E170" w14:textId="77777777" w:rsidTr="00092389">
        <w:trPr>
          <w:trHeight w:val="714"/>
          <w:jc w:val="center"/>
        </w:trPr>
        <w:tc>
          <w:tcPr>
            <w:tcW w:w="311" w:type="pct"/>
            <w:shd w:val="clear" w:color="auto" w:fill="auto"/>
            <w:vAlign w:val="center"/>
          </w:tcPr>
          <w:p w14:paraId="5762D38F" w14:textId="0A196D97" w:rsidR="00F10648" w:rsidRPr="00284113" w:rsidRDefault="00F10648" w:rsidP="00092389">
            <w:pPr>
              <w:jc w:val="center"/>
              <w:rPr>
                <w:rFonts w:ascii="Calibri" w:hAnsi="Calibri"/>
                <w:b/>
                <w:color w:val="000000"/>
                <w:highlight w:val="yellow"/>
              </w:rPr>
            </w:pPr>
            <w:r w:rsidRPr="00284113">
              <w:rPr>
                <w:rFonts w:ascii="Calibri" w:hAnsi="Calibri"/>
                <w:b/>
                <w:color w:val="000000"/>
              </w:rPr>
              <w:t>1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055AED38" w14:textId="6AB3B5DC" w:rsidR="00F10648" w:rsidRPr="00BC2E62" w:rsidRDefault="00F10648" w:rsidP="00092389">
            <w:pPr>
              <w:jc w:val="center"/>
              <w:rPr>
                <w:rFonts w:ascii="Calibri" w:hAnsi="Calibri"/>
                <w:color w:val="000000"/>
                <w:highlight w:val="yellow"/>
              </w:rPr>
            </w:pPr>
            <w:r w:rsidRPr="001B5BB7">
              <w:rPr>
                <w:rFonts w:ascii="Calibri" w:hAnsi="Calibri"/>
                <w:color w:val="000000"/>
                <w:sz w:val="22"/>
                <w:szCs w:val="22"/>
              </w:rPr>
              <w:t>Servizi istituzionali, generali e di gestione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0C4B2FC6" w14:textId="7C2493B6" w:rsidR="00F10648" w:rsidRPr="00284113" w:rsidRDefault="00F10648" w:rsidP="00092389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284113">
              <w:rPr>
                <w:rFonts w:ascii="Calibri" w:hAnsi="Calibri"/>
                <w:b/>
                <w:color w:val="000000"/>
              </w:rPr>
              <w:t>3</w:t>
            </w:r>
          </w:p>
        </w:tc>
        <w:tc>
          <w:tcPr>
            <w:tcW w:w="760" w:type="pct"/>
            <w:shd w:val="clear" w:color="auto" w:fill="auto"/>
            <w:vAlign w:val="center"/>
          </w:tcPr>
          <w:p w14:paraId="3B747BC6" w14:textId="6ABD1D26" w:rsidR="00F10648" w:rsidRPr="00BC2E62" w:rsidRDefault="00F10648" w:rsidP="00092389">
            <w:pPr>
              <w:jc w:val="center"/>
              <w:rPr>
                <w:rFonts w:ascii="Calibri" w:hAnsi="Calibri"/>
                <w:color w:val="000000"/>
                <w:highlight w:val="yellow"/>
              </w:rPr>
            </w:pPr>
            <w:r w:rsidRPr="005972CF">
              <w:rPr>
                <w:rFonts w:ascii="Calibri" w:hAnsi="Calibri"/>
                <w:color w:val="000000"/>
              </w:rPr>
              <w:t xml:space="preserve">Gestione economica, finanziaria,  programmazione, provveditorato                                                                                                                                                            </w:t>
            </w:r>
            <w:r>
              <w:rPr>
                <w:rFonts w:ascii="Calibri" w:hAnsi="Calibri"/>
                <w:color w:val="000000"/>
              </w:rPr>
              <w:t xml:space="preserve">                              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7EBD2149" w14:textId="10BCF9FD" w:rsidR="00F10648" w:rsidRPr="00284113" w:rsidRDefault="00F10648" w:rsidP="00092389">
            <w:pPr>
              <w:jc w:val="center"/>
              <w:rPr>
                <w:rFonts w:ascii="Calibri" w:hAnsi="Calibri"/>
                <w:b/>
                <w:color w:val="000000"/>
                <w:highlight w:val="yellow"/>
              </w:rPr>
            </w:pPr>
            <w:r w:rsidRPr="00284113">
              <w:rPr>
                <w:rFonts w:ascii="Calibri" w:hAnsi="Calibri"/>
                <w:b/>
                <w:color w:val="000000"/>
              </w:rPr>
              <w:t>1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38B2DCDD" w14:textId="019C960E" w:rsidR="00F10648" w:rsidRPr="00BC2E62" w:rsidRDefault="00F10648" w:rsidP="00092389">
            <w:pPr>
              <w:jc w:val="center"/>
              <w:rPr>
                <w:rFonts w:ascii="Calibri" w:hAnsi="Calibri"/>
                <w:color w:val="000000"/>
                <w:highlight w:val="yellow"/>
              </w:rPr>
            </w:pPr>
            <w:r w:rsidRPr="00C17611">
              <w:rPr>
                <w:rFonts w:ascii="Calibri" w:hAnsi="Calibri"/>
                <w:color w:val="000000"/>
                <w:sz w:val="22"/>
                <w:szCs w:val="22"/>
              </w:rPr>
              <w:t>Spese correnti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40CFE121" w14:textId="6EF979E0" w:rsidR="00F10648" w:rsidRPr="00092389" w:rsidRDefault="00F10648" w:rsidP="000923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  <w:r w:rsidRPr="00092389"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</w:rPr>
              <w:t>7</w:t>
            </w:r>
            <w:r w:rsidRPr="00092389">
              <w:rPr>
                <w:rFonts w:ascii="Arial" w:hAnsi="Arial" w:cs="Arial"/>
              </w:rPr>
              <w:t>.886,81</w:t>
            </w:r>
          </w:p>
        </w:tc>
        <w:tc>
          <w:tcPr>
            <w:tcW w:w="569" w:type="pct"/>
            <w:vAlign w:val="center"/>
          </w:tcPr>
          <w:p w14:paraId="296ADFA9" w14:textId="45E52993" w:rsidR="00F10648" w:rsidRPr="00092389" w:rsidRDefault="00F10648" w:rsidP="00092389">
            <w:pPr>
              <w:jc w:val="center"/>
              <w:rPr>
                <w:rFonts w:ascii="Arial" w:hAnsi="Arial" w:cs="Arial"/>
              </w:rPr>
            </w:pPr>
            <w:r w:rsidRPr="00092389">
              <w:rPr>
                <w:rFonts w:ascii="Arial" w:hAnsi="Arial" w:cs="Arial"/>
              </w:rPr>
              <w:t>-70.626,01</w:t>
            </w:r>
          </w:p>
        </w:tc>
        <w:tc>
          <w:tcPr>
            <w:tcW w:w="816" w:type="pct"/>
            <w:vMerge/>
            <w:vAlign w:val="center"/>
          </w:tcPr>
          <w:p w14:paraId="6CC29AFE" w14:textId="5C2395AD" w:rsidR="00F10648" w:rsidRPr="00092389" w:rsidRDefault="00F10648" w:rsidP="00092389">
            <w:pPr>
              <w:jc w:val="both"/>
              <w:rPr>
                <w:rFonts w:ascii="Arial" w:hAnsi="Arial" w:cs="Arial"/>
              </w:rPr>
            </w:pPr>
          </w:p>
        </w:tc>
      </w:tr>
      <w:tr w:rsidR="00F10648" w:rsidRPr="00E164A0" w14:paraId="60A16BBF" w14:textId="77777777" w:rsidTr="00092389">
        <w:trPr>
          <w:trHeight w:val="696"/>
          <w:jc w:val="center"/>
        </w:trPr>
        <w:tc>
          <w:tcPr>
            <w:tcW w:w="311" w:type="pct"/>
            <w:shd w:val="clear" w:color="auto" w:fill="auto"/>
            <w:vAlign w:val="center"/>
          </w:tcPr>
          <w:p w14:paraId="02952D2E" w14:textId="3C85FFAA" w:rsidR="00F10648" w:rsidRPr="00284113" w:rsidRDefault="00F10648" w:rsidP="00092389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284113">
              <w:rPr>
                <w:rFonts w:ascii="Calibri" w:hAnsi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2FF2E6A0" w14:textId="0B54B4C8" w:rsidR="00F10648" w:rsidRPr="00E164A0" w:rsidRDefault="00F10648" w:rsidP="00092389">
            <w:pPr>
              <w:jc w:val="center"/>
              <w:rPr>
                <w:rFonts w:ascii="Calibri" w:hAnsi="Calibri"/>
                <w:color w:val="000000"/>
              </w:rPr>
            </w:pPr>
            <w:r w:rsidRPr="001B5BB7">
              <w:rPr>
                <w:rFonts w:ascii="Calibri" w:hAnsi="Calibri"/>
                <w:color w:val="000000"/>
                <w:sz w:val="22"/>
                <w:szCs w:val="22"/>
              </w:rPr>
              <w:t>Servizi istituzionali, generali e di gestione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14864DD9" w14:textId="6EA8D5DC" w:rsidR="00F10648" w:rsidRPr="00284113" w:rsidRDefault="00F10648" w:rsidP="00092389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284113">
              <w:rPr>
                <w:rFonts w:ascii="Calibri" w:hAnsi="Calibri"/>
                <w:b/>
                <w:color w:val="000000"/>
              </w:rPr>
              <w:t>5</w:t>
            </w:r>
          </w:p>
        </w:tc>
        <w:tc>
          <w:tcPr>
            <w:tcW w:w="760" w:type="pct"/>
            <w:shd w:val="clear" w:color="auto" w:fill="auto"/>
            <w:vAlign w:val="center"/>
          </w:tcPr>
          <w:p w14:paraId="7F652E1F" w14:textId="3D45D279" w:rsidR="00F10648" w:rsidRPr="00E164A0" w:rsidRDefault="00F10648" w:rsidP="00092389">
            <w:pPr>
              <w:jc w:val="center"/>
              <w:rPr>
                <w:rFonts w:ascii="Calibri" w:hAnsi="Calibri"/>
                <w:color w:val="000000"/>
              </w:rPr>
            </w:pPr>
            <w:r w:rsidRPr="005972CF">
              <w:rPr>
                <w:rFonts w:ascii="Calibri" w:hAnsi="Calibri"/>
                <w:color w:val="000000"/>
              </w:rPr>
              <w:t xml:space="preserve">Gestione dei beni demaniali e patrimoniali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hAnsi="Calibri"/>
                <w:color w:val="000000"/>
              </w:rPr>
              <w:t xml:space="preserve">        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67A74ADE" w14:textId="3CCF1130" w:rsidR="00F10648" w:rsidRPr="00284113" w:rsidRDefault="00F10648" w:rsidP="00092389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284113">
              <w:rPr>
                <w:rFonts w:ascii="Calibri" w:hAnsi="Calibri"/>
                <w:b/>
                <w:color w:val="000000"/>
              </w:rPr>
              <w:t>1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17F00297" w14:textId="6F353847" w:rsidR="00F10648" w:rsidRPr="00E164A0" w:rsidRDefault="00F10648" w:rsidP="00092389">
            <w:pPr>
              <w:jc w:val="center"/>
              <w:rPr>
                <w:rFonts w:ascii="Calibri" w:hAnsi="Calibri"/>
                <w:color w:val="000000"/>
              </w:rPr>
            </w:pPr>
            <w:r w:rsidRPr="00C17611">
              <w:rPr>
                <w:rFonts w:ascii="Calibri" w:hAnsi="Calibri"/>
                <w:color w:val="000000"/>
                <w:sz w:val="22"/>
                <w:szCs w:val="22"/>
              </w:rPr>
              <w:t>Spese correnti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6DA00975" w14:textId="5C31E9DC" w:rsidR="00F10648" w:rsidRPr="00092389" w:rsidRDefault="00F10648" w:rsidP="000923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9" w:type="pct"/>
            <w:vAlign w:val="center"/>
          </w:tcPr>
          <w:p w14:paraId="6A79D5A7" w14:textId="1FEA7E47" w:rsidR="00F10648" w:rsidRPr="00092389" w:rsidRDefault="00F10648" w:rsidP="000923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-2.616,00</w:t>
            </w:r>
          </w:p>
        </w:tc>
        <w:tc>
          <w:tcPr>
            <w:tcW w:w="816" w:type="pct"/>
            <w:vMerge/>
            <w:vAlign w:val="center"/>
          </w:tcPr>
          <w:p w14:paraId="592AF90E" w14:textId="77777777" w:rsidR="00F10648" w:rsidRPr="00092389" w:rsidRDefault="00F10648" w:rsidP="00092389">
            <w:pPr>
              <w:jc w:val="both"/>
              <w:rPr>
                <w:rFonts w:ascii="Arial" w:hAnsi="Arial" w:cs="Arial"/>
              </w:rPr>
            </w:pPr>
          </w:p>
        </w:tc>
      </w:tr>
      <w:tr w:rsidR="00F10648" w:rsidRPr="00E164A0" w14:paraId="3EA356AC" w14:textId="77777777" w:rsidTr="00092389">
        <w:trPr>
          <w:trHeight w:val="706"/>
          <w:jc w:val="center"/>
        </w:trPr>
        <w:tc>
          <w:tcPr>
            <w:tcW w:w="311" w:type="pct"/>
            <w:shd w:val="clear" w:color="auto" w:fill="auto"/>
            <w:vAlign w:val="center"/>
          </w:tcPr>
          <w:p w14:paraId="5EDC74E4" w14:textId="7BADE0F0" w:rsidR="00F10648" w:rsidRPr="00284113" w:rsidRDefault="00F10648" w:rsidP="00092389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284113">
              <w:rPr>
                <w:rFonts w:ascii="Calibri" w:hAnsi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4A7D2F09" w14:textId="4BA819CC" w:rsidR="00F10648" w:rsidRPr="00C81BC9" w:rsidRDefault="00F10648" w:rsidP="00092389">
            <w:pPr>
              <w:jc w:val="center"/>
              <w:rPr>
                <w:rFonts w:ascii="Calibri" w:hAnsi="Calibri"/>
                <w:color w:val="000000"/>
              </w:rPr>
            </w:pPr>
            <w:r w:rsidRPr="001B5BB7">
              <w:rPr>
                <w:rFonts w:ascii="Calibri" w:hAnsi="Calibri"/>
                <w:color w:val="000000"/>
                <w:sz w:val="22"/>
                <w:szCs w:val="22"/>
              </w:rPr>
              <w:t>Servizi istituzionali, generali e di gestione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F824ECD" w14:textId="5E21487D" w:rsidR="00F10648" w:rsidRPr="00284113" w:rsidRDefault="00F10648" w:rsidP="00092389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284113">
              <w:rPr>
                <w:rFonts w:ascii="Calibri" w:hAnsi="Calibri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760" w:type="pct"/>
            <w:shd w:val="clear" w:color="auto" w:fill="auto"/>
            <w:vAlign w:val="center"/>
          </w:tcPr>
          <w:p w14:paraId="0515E2D9" w14:textId="52C3C334" w:rsidR="00F10648" w:rsidRDefault="00F10648" w:rsidP="00092389">
            <w:pPr>
              <w:jc w:val="center"/>
              <w:rPr>
                <w:rFonts w:ascii="Calibri" w:hAnsi="Calibri"/>
                <w:color w:val="000000"/>
              </w:rPr>
            </w:pPr>
            <w:r w:rsidRPr="00092389">
              <w:rPr>
                <w:rFonts w:ascii="Calibri" w:hAnsi="Calibri"/>
                <w:color w:val="000000"/>
                <w:sz w:val="22"/>
                <w:szCs w:val="22"/>
              </w:rPr>
              <w:t xml:space="preserve">Ufficio tecnico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 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33AC402D" w14:textId="6ED333B4" w:rsidR="00F10648" w:rsidRPr="00284113" w:rsidRDefault="00F10648" w:rsidP="00092389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284113">
              <w:rPr>
                <w:rFonts w:ascii="Calibri" w:hAnsi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226D1AA" w14:textId="67BCE78A" w:rsidR="00F10648" w:rsidRPr="00E164A0" w:rsidRDefault="00F10648" w:rsidP="00092389">
            <w:pPr>
              <w:jc w:val="center"/>
              <w:rPr>
                <w:rFonts w:ascii="Calibri" w:hAnsi="Calibri"/>
                <w:color w:val="000000"/>
              </w:rPr>
            </w:pPr>
            <w:r w:rsidRPr="00C17611">
              <w:rPr>
                <w:rFonts w:ascii="Calibri" w:hAnsi="Calibri"/>
                <w:color w:val="000000"/>
                <w:sz w:val="22"/>
                <w:szCs w:val="22"/>
              </w:rPr>
              <w:t>Spese correnti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5646665C" w14:textId="77777777" w:rsidR="00F10648" w:rsidRPr="00092389" w:rsidRDefault="00F10648" w:rsidP="000923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9" w:type="pct"/>
            <w:vAlign w:val="center"/>
          </w:tcPr>
          <w:p w14:paraId="65D1BE26" w14:textId="01FB3374" w:rsidR="00F10648" w:rsidRPr="00092389" w:rsidRDefault="00F10648" w:rsidP="000923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-195,85</w:t>
            </w:r>
          </w:p>
        </w:tc>
        <w:tc>
          <w:tcPr>
            <w:tcW w:w="816" w:type="pct"/>
            <w:vMerge/>
            <w:vAlign w:val="center"/>
          </w:tcPr>
          <w:p w14:paraId="3A7892C5" w14:textId="77777777" w:rsidR="00F10648" w:rsidRPr="00092389" w:rsidRDefault="00F10648" w:rsidP="00092389">
            <w:pPr>
              <w:jc w:val="both"/>
              <w:rPr>
                <w:rFonts w:ascii="Arial" w:hAnsi="Arial" w:cs="Arial"/>
              </w:rPr>
            </w:pPr>
          </w:p>
        </w:tc>
      </w:tr>
      <w:tr w:rsidR="00F10648" w:rsidRPr="00E164A0" w14:paraId="74D823F7" w14:textId="77777777" w:rsidTr="00092389">
        <w:trPr>
          <w:trHeight w:val="688"/>
          <w:jc w:val="center"/>
        </w:trPr>
        <w:tc>
          <w:tcPr>
            <w:tcW w:w="311" w:type="pct"/>
            <w:shd w:val="clear" w:color="auto" w:fill="auto"/>
            <w:vAlign w:val="center"/>
          </w:tcPr>
          <w:p w14:paraId="330B30F1" w14:textId="589B62A1" w:rsidR="00F10648" w:rsidRPr="00284113" w:rsidRDefault="00F10648" w:rsidP="00092389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284113">
              <w:rPr>
                <w:rFonts w:ascii="Calibri" w:hAnsi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4F615E9F" w14:textId="0AF28958" w:rsidR="00F10648" w:rsidRPr="00C81BC9" w:rsidRDefault="00F10648" w:rsidP="00092389">
            <w:pPr>
              <w:jc w:val="center"/>
              <w:rPr>
                <w:rFonts w:ascii="Calibri" w:hAnsi="Calibri"/>
                <w:color w:val="000000"/>
              </w:rPr>
            </w:pPr>
            <w:r w:rsidRPr="001B5BB7">
              <w:rPr>
                <w:rFonts w:ascii="Calibri" w:hAnsi="Calibri"/>
                <w:color w:val="000000"/>
                <w:sz w:val="22"/>
                <w:szCs w:val="22"/>
              </w:rPr>
              <w:t>Servizi istituzionali, generali e di gestione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577E821" w14:textId="3DE6CF15" w:rsidR="00F10648" w:rsidRPr="00284113" w:rsidRDefault="00F10648" w:rsidP="00092389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284113">
              <w:rPr>
                <w:rFonts w:ascii="Calibri" w:hAnsi="Calibri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760" w:type="pct"/>
            <w:shd w:val="clear" w:color="auto" w:fill="auto"/>
            <w:vAlign w:val="center"/>
          </w:tcPr>
          <w:p w14:paraId="4411292F" w14:textId="0DEB7A46" w:rsidR="00F10648" w:rsidRDefault="00F10648" w:rsidP="00092389">
            <w:pPr>
              <w:jc w:val="center"/>
              <w:rPr>
                <w:rFonts w:ascii="Calibri" w:hAnsi="Calibri"/>
                <w:color w:val="000000"/>
              </w:rPr>
            </w:pPr>
            <w:r w:rsidRPr="00092389">
              <w:rPr>
                <w:rFonts w:ascii="Calibri" w:hAnsi="Calibri"/>
                <w:color w:val="000000"/>
                <w:sz w:val="22"/>
                <w:szCs w:val="22"/>
              </w:rPr>
              <w:t xml:space="preserve">Risorse umane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6165B8D4" w14:textId="3773755B" w:rsidR="00F10648" w:rsidRPr="00284113" w:rsidRDefault="00F10648" w:rsidP="00092389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284113">
              <w:rPr>
                <w:rFonts w:ascii="Calibri" w:hAnsi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1670852B" w14:textId="550B8627" w:rsidR="00F10648" w:rsidRPr="00E164A0" w:rsidRDefault="00F10648" w:rsidP="00092389">
            <w:pPr>
              <w:jc w:val="center"/>
              <w:rPr>
                <w:rFonts w:ascii="Calibri" w:hAnsi="Calibri"/>
                <w:color w:val="000000"/>
              </w:rPr>
            </w:pPr>
            <w:r w:rsidRPr="00C17611">
              <w:rPr>
                <w:rFonts w:ascii="Calibri" w:hAnsi="Calibri"/>
                <w:color w:val="000000"/>
                <w:sz w:val="22"/>
                <w:szCs w:val="22"/>
              </w:rPr>
              <w:t>Spese correnti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75B18887" w14:textId="77777777" w:rsidR="00F10648" w:rsidRPr="00092389" w:rsidRDefault="00F10648" w:rsidP="000923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9" w:type="pct"/>
            <w:vAlign w:val="center"/>
          </w:tcPr>
          <w:p w14:paraId="36CF8EF1" w14:textId="1CF18B76" w:rsidR="00F10648" w:rsidRPr="00092389" w:rsidRDefault="00F10648" w:rsidP="000923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-11.000,00</w:t>
            </w:r>
          </w:p>
        </w:tc>
        <w:tc>
          <w:tcPr>
            <w:tcW w:w="816" w:type="pct"/>
            <w:vMerge/>
            <w:vAlign w:val="center"/>
          </w:tcPr>
          <w:p w14:paraId="53AB7C9B" w14:textId="77777777" w:rsidR="00F10648" w:rsidRPr="00092389" w:rsidRDefault="00F10648" w:rsidP="00092389">
            <w:pPr>
              <w:jc w:val="both"/>
              <w:rPr>
                <w:rFonts w:ascii="Arial" w:hAnsi="Arial" w:cs="Arial"/>
              </w:rPr>
            </w:pPr>
          </w:p>
        </w:tc>
      </w:tr>
      <w:tr w:rsidR="00F10648" w:rsidRPr="00E164A0" w14:paraId="48220532" w14:textId="77777777" w:rsidTr="00092389">
        <w:trPr>
          <w:trHeight w:val="688"/>
          <w:jc w:val="center"/>
        </w:trPr>
        <w:tc>
          <w:tcPr>
            <w:tcW w:w="311" w:type="pct"/>
            <w:shd w:val="clear" w:color="auto" w:fill="auto"/>
            <w:vAlign w:val="center"/>
          </w:tcPr>
          <w:p w14:paraId="1FBA0A4F" w14:textId="5C2E3CC8" w:rsidR="00F10648" w:rsidRPr="00284113" w:rsidRDefault="00F10648" w:rsidP="00092389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284113">
              <w:rPr>
                <w:rFonts w:ascii="Calibri" w:hAnsi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3F2A4461" w14:textId="71A28639" w:rsidR="00F10648" w:rsidRPr="001B5BB7" w:rsidRDefault="00F10648" w:rsidP="00092389">
            <w:pPr>
              <w:jc w:val="center"/>
              <w:rPr>
                <w:rFonts w:ascii="Calibri" w:hAnsi="Calibri"/>
                <w:color w:val="000000"/>
              </w:rPr>
            </w:pPr>
            <w:r w:rsidRPr="001B5BB7">
              <w:rPr>
                <w:rFonts w:ascii="Calibri" w:hAnsi="Calibri"/>
                <w:color w:val="000000"/>
                <w:sz w:val="22"/>
                <w:szCs w:val="22"/>
              </w:rPr>
              <w:t>Servizi istituzionali, generali e di gestione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538E0DBF" w14:textId="5AA33324" w:rsidR="00F10648" w:rsidRPr="00284113" w:rsidRDefault="00F10648" w:rsidP="00092389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284113">
              <w:rPr>
                <w:rFonts w:ascii="Calibri" w:hAnsi="Calibri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760" w:type="pct"/>
            <w:shd w:val="clear" w:color="auto" w:fill="auto"/>
            <w:vAlign w:val="center"/>
          </w:tcPr>
          <w:p w14:paraId="0BB24C14" w14:textId="33103B3A" w:rsidR="00F10648" w:rsidRDefault="00F10648" w:rsidP="00092389">
            <w:pPr>
              <w:jc w:val="center"/>
              <w:rPr>
                <w:rFonts w:ascii="Calibri" w:hAnsi="Calibri"/>
                <w:color w:val="000000"/>
              </w:rPr>
            </w:pPr>
            <w:r w:rsidRPr="00092389">
              <w:rPr>
                <w:rFonts w:ascii="Calibri" w:hAnsi="Calibri"/>
                <w:color w:val="000000"/>
                <w:sz w:val="22"/>
                <w:szCs w:val="22"/>
              </w:rPr>
              <w:t xml:space="preserve">Altri servizi generali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521D6020" w14:textId="6369EC5D" w:rsidR="00F10648" w:rsidRPr="00284113" w:rsidRDefault="00F10648" w:rsidP="00092389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284113">
              <w:rPr>
                <w:rFonts w:ascii="Calibri" w:hAnsi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4BFD82B1" w14:textId="36266B06" w:rsidR="00F10648" w:rsidRPr="00E164A0" w:rsidRDefault="00F10648" w:rsidP="00092389">
            <w:pPr>
              <w:jc w:val="center"/>
              <w:rPr>
                <w:rFonts w:ascii="Calibri" w:hAnsi="Calibri"/>
                <w:color w:val="000000"/>
              </w:rPr>
            </w:pPr>
            <w:r w:rsidRPr="00C17611">
              <w:rPr>
                <w:rFonts w:ascii="Calibri" w:hAnsi="Calibri"/>
                <w:color w:val="000000"/>
                <w:sz w:val="22"/>
                <w:szCs w:val="22"/>
              </w:rPr>
              <w:t>Spese correnti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578B9CB0" w14:textId="77777777" w:rsidR="00F10648" w:rsidRPr="00092389" w:rsidRDefault="00F10648" w:rsidP="000923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9" w:type="pct"/>
            <w:vAlign w:val="center"/>
          </w:tcPr>
          <w:p w14:paraId="2206E45B" w14:textId="2CD25E84" w:rsidR="00F10648" w:rsidRPr="00092389" w:rsidRDefault="00F10648" w:rsidP="000923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-5.500,00</w:t>
            </w:r>
          </w:p>
        </w:tc>
        <w:tc>
          <w:tcPr>
            <w:tcW w:w="816" w:type="pct"/>
            <w:vMerge/>
            <w:vAlign w:val="center"/>
          </w:tcPr>
          <w:p w14:paraId="7D73376B" w14:textId="77777777" w:rsidR="00F10648" w:rsidRPr="00092389" w:rsidRDefault="00F10648" w:rsidP="00092389">
            <w:pPr>
              <w:jc w:val="both"/>
              <w:rPr>
                <w:rFonts w:ascii="Arial" w:hAnsi="Arial" w:cs="Arial"/>
              </w:rPr>
            </w:pPr>
          </w:p>
        </w:tc>
      </w:tr>
      <w:tr w:rsidR="00F10648" w:rsidRPr="00E164A0" w14:paraId="1A634374" w14:textId="77777777" w:rsidTr="00092389">
        <w:trPr>
          <w:trHeight w:val="840"/>
          <w:jc w:val="center"/>
        </w:trPr>
        <w:tc>
          <w:tcPr>
            <w:tcW w:w="311" w:type="pct"/>
            <w:shd w:val="clear" w:color="auto" w:fill="auto"/>
            <w:vAlign w:val="center"/>
          </w:tcPr>
          <w:p w14:paraId="527D19FF" w14:textId="68BFBCD1" w:rsidR="00F10648" w:rsidRPr="00284113" w:rsidRDefault="00F10648" w:rsidP="005972CF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284113">
              <w:rPr>
                <w:rFonts w:ascii="Calibri" w:hAnsi="Calibri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245B32F8" w14:textId="1EBB9092" w:rsidR="00F10648" w:rsidRPr="00092389" w:rsidRDefault="00F10648" w:rsidP="005972CF">
            <w:pPr>
              <w:jc w:val="center"/>
              <w:rPr>
                <w:rFonts w:ascii="Calibri" w:hAnsi="Calibri"/>
                <w:color w:val="000000"/>
              </w:rPr>
            </w:pPr>
            <w:r w:rsidRPr="00092389">
              <w:rPr>
                <w:rFonts w:ascii="Calibri" w:hAnsi="Calibri"/>
                <w:color w:val="000000"/>
                <w:sz w:val="22"/>
                <w:szCs w:val="22"/>
              </w:rPr>
              <w:t>Tutela e valorizzazione dei beni e delle attività culturali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59BF0AB7" w14:textId="1CA5E112" w:rsidR="00F10648" w:rsidRPr="00284113" w:rsidRDefault="00F10648" w:rsidP="005972CF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284113">
              <w:rPr>
                <w:rFonts w:ascii="Calibri" w:hAnsi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760" w:type="pct"/>
            <w:shd w:val="clear" w:color="auto" w:fill="auto"/>
            <w:vAlign w:val="center"/>
          </w:tcPr>
          <w:p w14:paraId="110AF848" w14:textId="22B83393" w:rsidR="00F10648" w:rsidRPr="00092389" w:rsidRDefault="00F10648" w:rsidP="005972CF">
            <w:pPr>
              <w:jc w:val="center"/>
              <w:rPr>
                <w:rFonts w:ascii="Calibri" w:hAnsi="Calibri"/>
                <w:color w:val="000000"/>
              </w:rPr>
            </w:pPr>
            <w:r w:rsidRPr="00092389">
              <w:rPr>
                <w:rFonts w:ascii="Calibri" w:hAnsi="Calibri"/>
                <w:color w:val="000000"/>
                <w:sz w:val="22"/>
                <w:szCs w:val="22"/>
              </w:rPr>
              <w:t>Attività culturali e interventi diversi nel settore culturale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6CE3A7E9" w14:textId="0F9F658C" w:rsidR="00F10648" w:rsidRPr="00284113" w:rsidRDefault="00F10648" w:rsidP="005972CF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284113">
              <w:rPr>
                <w:rFonts w:ascii="Calibri" w:hAnsi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4AD99F7" w14:textId="710768D9" w:rsidR="00F10648" w:rsidRPr="00092389" w:rsidRDefault="00F10648" w:rsidP="00092389">
            <w:pPr>
              <w:jc w:val="center"/>
              <w:rPr>
                <w:rFonts w:ascii="Calibri" w:hAnsi="Calibri"/>
                <w:color w:val="000000"/>
              </w:rPr>
            </w:pPr>
            <w:r w:rsidRPr="00092389">
              <w:rPr>
                <w:rFonts w:ascii="Calibri" w:hAnsi="Calibri"/>
                <w:color w:val="000000"/>
                <w:sz w:val="22"/>
                <w:szCs w:val="22"/>
              </w:rPr>
              <w:t>Spese correnti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42F8908A" w14:textId="6C3FD84C" w:rsidR="00F10648" w:rsidRPr="00092389" w:rsidRDefault="00F10648" w:rsidP="00597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9" w:type="pct"/>
            <w:vAlign w:val="center"/>
          </w:tcPr>
          <w:p w14:paraId="1D1650C0" w14:textId="3B0E88F8" w:rsidR="00F10648" w:rsidRPr="00092389" w:rsidRDefault="00F10648" w:rsidP="000923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-36.153,08</w:t>
            </w:r>
          </w:p>
        </w:tc>
        <w:tc>
          <w:tcPr>
            <w:tcW w:w="816" w:type="pct"/>
            <w:vMerge/>
            <w:vAlign w:val="center"/>
          </w:tcPr>
          <w:p w14:paraId="7A729FA4" w14:textId="77777777" w:rsidR="00F10648" w:rsidRPr="00092389" w:rsidRDefault="00F10648" w:rsidP="005972CF">
            <w:pPr>
              <w:jc w:val="both"/>
              <w:rPr>
                <w:rFonts w:ascii="Arial" w:hAnsi="Arial" w:cs="Arial"/>
              </w:rPr>
            </w:pPr>
          </w:p>
        </w:tc>
      </w:tr>
      <w:tr w:rsidR="00F10648" w:rsidRPr="00E164A0" w14:paraId="32856102" w14:textId="77777777" w:rsidTr="00F10648">
        <w:trPr>
          <w:trHeight w:val="347"/>
          <w:jc w:val="center"/>
        </w:trPr>
        <w:tc>
          <w:tcPr>
            <w:tcW w:w="311" w:type="pct"/>
            <w:shd w:val="clear" w:color="auto" w:fill="auto"/>
            <w:vAlign w:val="center"/>
          </w:tcPr>
          <w:p w14:paraId="5901EE70" w14:textId="77777777" w:rsidR="00F10648" w:rsidRPr="00284113" w:rsidRDefault="00F10648" w:rsidP="005972CF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3A2526C3" w14:textId="77777777" w:rsidR="00F10648" w:rsidRPr="00092389" w:rsidRDefault="00F10648" w:rsidP="005972C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3E4CEC25" w14:textId="77777777" w:rsidR="00F10648" w:rsidRPr="00284113" w:rsidRDefault="00F10648" w:rsidP="005972CF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14:paraId="280C1119" w14:textId="77777777" w:rsidR="00F10648" w:rsidRPr="00092389" w:rsidRDefault="00F10648" w:rsidP="005972C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71F8B4C2" w14:textId="77777777" w:rsidR="00F10648" w:rsidRPr="00284113" w:rsidRDefault="00F10648" w:rsidP="005972CF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6D3B7E05" w14:textId="7B856A77" w:rsidR="00F10648" w:rsidRPr="00092389" w:rsidRDefault="00F10648" w:rsidP="0009238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Totale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1E5E7649" w14:textId="3050D067" w:rsidR="00F10648" w:rsidRPr="00092389" w:rsidRDefault="00F10648" w:rsidP="00597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  <w:r w:rsidRPr="00092389"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</w:rPr>
              <w:t>7</w:t>
            </w:r>
            <w:r w:rsidRPr="00092389">
              <w:rPr>
                <w:rFonts w:ascii="Arial" w:hAnsi="Arial" w:cs="Arial"/>
              </w:rPr>
              <w:t>.886,81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9" w:type="pct"/>
            <w:vAlign w:val="center"/>
          </w:tcPr>
          <w:p w14:paraId="28EC9AB9" w14:textId="316B7ABC" w:rsidR="00F10648" w:rsidRDefault="00F10648" w:rsidP="000923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=SUM(ABOVE)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-307.886,81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16" w:type="pct"/>
            <w:vAlign w:val="center"/>
          </w:tcPr>
          <w:p w14:paraId="17F87AA2" w14:textId="77777777" w:rsidR="00F10648" w:rsidRPr="00092389" w:rsidRDefault="00F10648" w:rsidP="005972CF">
            <w:pPr>
              <w:jc w:val="both"/>
              <w:rPr>
                <w:rFonts w:ascii="Arial" w:hAnsi="Arial" w:cs="Arial"/>
              </w:rPr>
            </w:pPr>
          </w:p>
        </w:tc>
      </w:tr>
    </w:tbl>
    <w:p w14:paraId="2BAF5A2D" w14:textId="77777777" w:rsidR="000E2044" w:rsidRPr="00CD40BD" w:rsidRDefault="000E2044">
      <w:pPr>
        <w:rPr>
          <w:sz w:val="10"/>
          <w:szCs w:val="10"/>
        </w:rPr>
      </w:pPr>
    </w:p>
    <w:p w14:paraId="01233762" w14:textId="7DA6BA74" w:rsidR="00E164A0" w:rsidRDefault="00E164A0" w:rsidP="009B18EA"/>
    <w:p w14:paraId="004C0189" w14:textId="7EE38EF3" w:rsidR="00F10648" w:rsidRDefault="00F10648" w:rsidP="009B18EA"/>
    <w:p w14:paraId="78AE7AEE" w14:textId="58AEEC41" w:rsidR="00F10648" w:rsidRDefault="00F10648" w:rsidP="009B18EA"/>
    <w:p w14:paraId="4968EACA" w14:textId="77777777" w:rsidR="007B6258" w:rsidRDefault="007B6258" w:rsidP="009B18EA"/>
    <w:p w14:paraId="5904281D" w14:textId="77777777" w:rsidR="007B6258" w:rsidRDefault="007B6258" w:rsidP="009B18EA"/>
    <w:p w14:paraId="49AA53C0" w14:textId="233F2B32" w:rsidR="00F10648" w:rsidRDefault="007B6258" w:rsidP="009B18EA">
      <w:r w:rsidRPr="00753956">
        <w:rPr>
          <w:b/>
        </w:rPr>
        <w:lastRenderedPageBreak/>
        <w:t>SPESA</w:t>
      </w:r>
      <w:r>
        <w:rPr>
          <w:b/>
        </w:rPr>
        <w:t xml:space="preserve"> - corrente - variazioni di sintesi per missione/programma/titoli</w:t>
      </w:r>
    </w:p>
    <w:tbl>
      <w:tblPr>
        <w:tblW w:w="53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6"/>
        <w:gridCol w:w="2193"/>
        <w:gridCol w:w="1215"/>
        <w:gridCol w:w="2361"/>
        <w:gridCol w:w="870"/>
        <w:gridCol w:w="1183"/>
        <w:gridCol w:w="2441"/>
        <w:gridCol w:w="1767"/>
        <w:gridCol w:w="2535"/>
      </w:tblGrid>
      <w:tr w:rsidR="00F10648" w:rsidRPr="00E164A0" w14:paraId="55A4A14C" w14:textId="77777777" w:rsidTr="00FE44E8">
        <w:trPr>
          <w:trHeight w:val="864"/>
          <w:tblHeader/>
          <w:jc w:val="center"/>
        </w:trPr>
        <w:tc>
          <w:tcPr>
            <w:tcW w:w="311" w:type="pct"/>
            <w:shd w:val="clear" w:color="000000" w:fill="F2F2F2"/>
            <w:vAlign w:val="center"/>
            <w:hideMark/>
          </w:tcPr>
          <w:p w14:paraId="28BE34C9" w14:textId="77777777" w:rsidR="00F10648" w:rsidRPr="00E164A0" w:rsidRDefault="00F10648" w:rsidP="00FE44E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164A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Missione</w:t>
            </w:r>
          </w:p>
        </w:tc>
        <w:tc>
          <w:tcPr>
            <w:tcW w:w="706" w:type="pct"/>
            <w:shd w:val="clear" w:color="000000" w:fill="F2F2F2"/>
            <w:vAlign w:val="center"/>
            <w:hideMark/>
          </w:tcPr>
          <w:p w14:paraId="23FBD478" w14:textId="77777777" w:rsidR="00F10648" w:rsidRPr="00E164A0" w:rsidRDefault="00F10648" w:rsidP="00FE44E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164A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Missione</w:t>
            </w:r>
          </w:p>
        </w:tc>
        <w:tc>
          <w:tcPr>
            <w:tcW w:w="391" w:type="pct"/>
            <w:shd w:val="clear" w:color="000000" w:fill="F2F2F2"/>
            <w:vAlign w:val="center"/>
            <w:hideMark/>
          </w:tcPr>
          <w:p w14:paraId="0F12C415" w14:textId="77777777" w:rsidR="00F10648" w:rsidRPr="00E164A0" w:rsidRDefault="00F10648" w:rsidP="00FE44E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164A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Programma</w:t>
            </w:r>
          </w:p>
        </w:tc>
        <w:tc>
          <w:tcPr>
            <w:tcW w:w="760" w:type="pct"/>
            <w:shd w:val="clear" w:color="000000" w:fill="F2F2F2"/>
            <w:vAlign w:val="center"/>
            <w:hideMark/>
          </w:tcPr>
          <w:p w14:paraId="5DF90DDA" w14:textId="77777777" w:rsidR="00F10648" w:rsidRPr="00E164A0" w:rsidRDefault="00F10648" w:rsidP="00FE44E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164A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Programma</w:t>
            </w:r>
          </w:p>
        </w:tc>
        <w:tc>
          <w:tcPr>
            <w:tcW w:w="280" w:type="pct"/>
            <w:shd w:val="clear" w:color="000000" w:fill="F2F2F2"/>
            <w:vAlign w:val="center"/>
            <w:hideMark/>
          </w:tcPr>
          <w:p w14:paraId="36955530" w14:textId="77777777" w:rsidR="00F10648" w:rsidRPr="00E164A0" w:rsidRDefault="00F10648" w:rsidP="00FE44E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164A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Titolo (codice)</w:t>
            </w:r>
          </w:p>
        </w:tc>
        <w:tc>
          <w:tcPr>
            <w:tcW w:w="381" w:type="pct"/>
            <w:shd w:val="clear" w:color="000000" w:fill="F2F2F2"/>
            <w:vAlign w:val="center"/>
            <w:hideMark/>
          </w:tcPr>
          <w:p w14:paraId="19F1E8FB" w14:textId="77777777" w:rsidR="00F10648" w:rsidRPr="00E164A0" w:rsidRDefault="00F10648" w:rsidP="00FE44E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164A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Titolo</w:t>
            </w:r>
          </w:p>
        </w:tc>
        <w:tc>
          <w:tcPr>
            <w:tcW w:w="786" w:type="pct"/>
            <w:shd w:val="clear" w:color="000000" w:fill="F2F2F2"/>
            <w:vAlign w:val="center"/>
            <w:hideMark/>
          </w:tcPr>
          <w:p w14:paraId="7083B727" w14:textId="77777777" w:rsidR="00F10648" w:rsidRPr="00E164A0" w:rsidRDefault="00F10648" w:rsidP="00FE44E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164A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Variazione in aumento competenza e cassa anno 202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9" w:type="pct"/>
            <w:shd w:val="clear" w:color="000000" w:fill="F2F2F2"/>
            <w:vAlign w:val="center"/>
          </w:tcPr>
          <w:p w14:paraId="0816486F" w14:textId="77777777" w:rsidR="00F10648" w:rsidRPr="00E164A0" w:rsidRDefault="00F10648" w:rsidP="00FE44E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164A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Variazione in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diminuzione</w:t>
            </w:r>
            <w:r w:rsidRPr="00E164A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competenza e cassa anno 202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16" w:type="pct"/>
            <w:shd w:val="clear" w:color="000000" w:fill="F2F2F2"/>
            <w:vAlign w:val="center"/>
          </w:tcPr>
          <w:p w14:paraId="59E58824" w14:textId="77777777" w:rsidR="00F10648" w:rsidRPr="00E164A0" w:rsidRDefault="00F10648" w:rsidP="00FE44E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164A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Motivazione</w:t>
            </w:r>
          </w:p>
        </w:tc>
        <w:bookmarkStart w:id="1" w:name="_GoBack"/>
        <w:bookmarkEnd w:id="1"/>
      </w:tr>
      <w:tr w:rsidR="00F10648" w:rsidRPr="00E164A0" w14:paraId="75DA79B2" w14:textId="77777777" w:rsidTr="00FE44E8">
        <w:trPr>
          <w:trHeight w:val="714"/>
          <w:jc w:val="center"/>
        </w:trPr>
        <w:tc>
          <w:tcPr>
            <w:tcW w:w="311" w:type="pct"/>
            <w:shd w:val="clear" w:color="auto" w:fill="auto"/>
            <w:vAlign w:val="center"/>
          </w:tcPr>
          <w:p w14:paraId="076F993C" w14:textId="77777777" w:rsidR="00F10648" w:rsidRPr="00284113" w:rsidRDefault="00F10648" w:rsidP="00FE44E8">
            <w:pPr>
              <w:jc w:val="center"/>
              <w:rPr>
                <w:rFonts w:ascii="Calibri" w:hAnsi="Calibri"/>
                <w:b/>
                <w:color w:val="000000"/>
                <w:highlight w:val="yellow"/>
              </w:rPr>
            </w:pPr>
            <w:r w:rsidRPr="00284113">
              <w:rPr>
                <w:rFonts w:ascii="Calibri" w:hAnsi="Calibri"/>
                <w:b/>
                <w:color w:val="000000"/>
              </w:rPr>
              <w:t>1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5F5653FC" w14:textId="77777777" w:rsidR="00F10648" w:rsidRPr="00BC2E62" w:rsidRDefault="00F10648" w:rsidP="00FE44E8">
            <w:pPr>
              <w:jc w:val="center"/>
              <w:rPr>
                <w:rFonts w:ascii="Calibri" w:hAnsi="Calibri"/>
                <w:color w:val="000000"/>
                <w:highlight w:val="yellow"/>
              </w:rPr>
            </w:pPr>
            <w:r w:rsidRPr="001B5BB7">
              <w:rPr>
                <w:rFonts w:ascii="Calibri" w:hAnsi="Calibri"/>
                <w:color w:val="000000"/>
                <w:sz w:val="22"/>
                <w:szCs w:val="22"/>
              </w:rPr>
              <w:t>Servizi istituzionali, generali e di gestione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0DE0C570" w14:textId="77777777" w:rsidR="00F10648" w:rsidRPr="00284113" w:rsidRDefault="00F10648" w:rsidP="00FE44E8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284113">
              <w:rPr>
                <w:rFonts w:ascii="Calibri" w:hAnsi="Calibri"/>
                <w:b/>
                <w:color w:val="000000"/>
              </w:rPr>
              <w:t>3</w:t>
            </w:r>
          </w:p>
        </w:tc>
        <w:tc>
          <w:tcPr>
            <w:tcW w:w="760" w:type="pct"/>
            <w:shd w:val="clear" w:color="auto" w:fill="auto"/>
            <w:vAlign w:val="center"/>
          </w:tcPr>
          <w:p w14:paraId="030319D5" w14:textId="77777777" w:rsidR="00F10648" w:rsidRPr="00BC2E62" w:rsidRDefault="00F10648" w:rsidP="00FE44E8">
            <w:pPr>
              <w:jc w:val="center"/>
              <w:rPr>
                <w:rFonts w:ascii="Calibri" w:hAnsi="Calibri"/>
                <w:color w:val="000000"/>
                <w:highlight w:val="yellow"/>
              </w:rPr>
            </w:pPr>
            <w:r w:rsidRPr="005972CF">
              <w:rPr>
                <w:rFonts w:ascii="Calibri" w:hAnsi="Calibri"/>
                <w:color w:val="000000"/>
              </w:rPr>
              <w:t xml:space="preserve">Gestione economica, finanziaria,  programmazione, provveditorato                                                                                                                                                            </w:t>
            </w:r>
            <w:r>
              <w:rPr>
                <w:rFonts w:ascii="Calibri" w:hAnsi="Calibri"/>
                <w:color w:val="000000"/>
              </w:rPr>
              <w:t xml:space="preserve">                              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2902A013" w14:textId="77777777" w:rsidR="00F10648" w:rsidRPr="00284113" w:rsidRDefault="00F10648" w:rsidP="00FE44E8">
            <w:pPr>
              <w:jc w:val="center"/>
              <w:rPr>
                <w:rFonts w:ascii="Calibri" w:hAnsi="Calibri"/>
                <w:b/>
                <w:color w:val="000000"/>
                <w:highlight w:val="yellow"/>
              </w:rPr>
            </w:pPr>
            <w:r w:rsidRPr="00284113">
              <w:rPr>
                <w:rFonts w:ascii="Calibri" w:hAnsi="Calibri"/>
                <w:b/>
                <w:color w:val="000000"/>
              </w:rPr>
              <w:t>1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64C3CC5F" w14:textId="77777777" w:rsidR="00F10648" w:rsidRPr="00BC2E62" w:rsidRDefault="00F10648" w:rsidP="00FE44E8">
            <w:pPr>
              <w:jc w:val="center"/>
              <w:rPr>
                <w:rFonts w:ascii="Calibri" w:hAnsi="Calibri"/>
                <w:color w:val="000000"/>
                <w:highlight w:val="yellow"/>
              </w:rPr>
            </w:pPr>
            <w:r w:rsidRPr="00C17611">
              <w:rPr>
                <w:rFonts w:ascii="Calibri" w:hAnsi="Calibri"/>
                <w:color w:val="000000"/>
                <w:sz w:val="22"/>
                <w:szCs w:val="22"/>
              </w:rPr>
              <w:t>Spese correnti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468456B1" w14:textId="563B722C" w:rsidR="00F10648" w:rsidRPr="00092389" w:rsidRDefault="00F10648" w:rsidP="00FE44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+2.000,00</w:t>
            </w:r>
          </w:p>
        </w:tc>
        <w:tc>
          <w:tcPr>
            <w:tcW w:w="569" w:type="pct"/>
            <w:vAlign w:val="center"/>
          </w:tcPr>
          <w:p w14:paraId="5DFE99A5" w14:textId="276D651A" w:rsidR="00F10648" w:rsidRPr="00092389" w:rsidRDefault="00F10648" w:rsidP="00FE44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6" w:type="pct"/>
            <w:vMerge w:val="restart"/>
            <w:vAlign w:val="center"/>
          </w:tcPr>
          <w:p w14:paraId="0B592483" w14:textId="24A9A302" w:rsidR="00F10648" w:rsidRPr="00092389" w:rsidRDefault="00F10648" w:rsidP="0011224A">
            <w:pPr>
              <w:jc w:val="both"/>
              <w:rPr>
                <w:rFonts w:ascii="Arial" w:hAnsi="Arial" w:cs="Arial"/>
              </w:rPr>
            </w:pPr>
            <w:r w:rsidRPr="007B6258">
              <w:rPr>
                <w:rFonts w:ascii="Calibri" w:hAnsi="Calibri"/>
                <w:color w:val="000000"/>
              </w:rPr>
              <w:t>Variazione conseguente ad una diversa allocazione delle risorse</w:t>
            </w:r>
            <w:r w:rsidR="007B6258">
              <w:rPr>
                <w:rFonts w:ascii="Calibri" w:hAnsi="Calibri"/>
                <w:color w:val="000000"/>
              </w:rPr>
              <w:t xml:space="preserve"> </w:t>
            </w:r>
            <w:r w:rsidRPr="007B6258">
              <w:rPr>
                <w:rFonts w:ascii="Calibri" w:hAnsi="Calibri"/>
                <w:color w:val="000000"/>
              </w:rPr>
              <w:t xml:space="preserve"> stanziate sul bilancio 2022-2024 esercizio 2022 a copertura delle spese di funzionamento dell’Osservatorio legislativo interregionale  - quota avanzo</w:t>
            </w:r>
          </w:p>
        </w:tc>
      </w:tr>
      <w:tr w:rsidR="00F10648" w:rsidRPr="00E164A0" w14:paraId="165C3395" w14:textId="77777777" w:rsidTr="00FE44E8">
        <w:trPr>
          <w:trHeight w:val="688"/>
          <w:jc w:val="center"/>
        </w:trPr>
        <w:tc>
          <w:tcPr>
            <w:tcW w:w="311" w:type="pct"/>
            <w:shd w:val="clear" w:color="auto" w:fill="auto"/>
            <w:vAlign w:val="center"/>
          </w:tcPr>
          <w:p w14:paraId="060E770C" w14:textId="77777777" w:rsidR="00F10648" w:rsidRPr="00284113" w:rsidRDefault="00F10648" w:rsidP="00FE44E8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284113">
              <w:rPr>
                <w:rFonts w:ascii="Calibri" w:hAnsi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73F9BCDC" w14:textId="77777777" w:rsidR="00F10648" w:rsidRPr="001B5BB7" w:rsidRDefault="00F10648" w:rsidP="00FE44E8">
            <w:pPr>
              <w:jc w:val="center"/>
              <w:rPr>
                <w:rFonts w:ascii="Calibri" w:hAnsi="Calibri"/>
                <w:color w:val="000000"/>
              </w:rPr>
            </w:pPr>
            <w:r w:rsidRPr="001B5BB7">
              <w:rPr>
                <w:rFonts w:ascii="Calibri" w:hAnsi="Calibri"/>
                <w:color w:val="000000"/>
                <w:sz w:val="22"/>
                <w:szCs w:val="22"/>
              </w:rPr>
              <w:t>Servizi istituzionali, generali e di gestione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ECF28EA" w14:textId="77777777" w:rsidR="00F10648" w:rsidRPr="00284113" w:rsidRDefault="00F10648" w:rsidP="00FE44E8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284113">
              <w:rPr>
                <w:rFonts w:ascii="Calibri" w:hAnsi="Calibri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760" w:type="pct"/>
            <w:shd w:val="clear" w:color="auto" w:fill="auto"/>
            <w:vAlign w:val="center"/>
          </w:tcPr>
          <w:p w14:paraId="7C618460" w14:textId="77777777" w:rsidR="00F10648" w:rsidRDefault="00F10648" w:rsidP="00FE44E8">
            <w:pPr>
              <w:jc w:val="center"/>
              <w:rPr>
                <w:rFonts w:ascii="Calibri" w:hAnsi="Calibri"/>
                <w:color w:val="000000"/>
              </w:rPr>
            </w:pPr>
            <w:r w:rsidRPr="00092389">
              <w:rPr>
                <w:rFonts w:ascii="Calibri" w:hAnsi="Calibri"/>
                <w:color w:val="000000"/>
                <w:sz w:val="22"/>
                <w:szCs w:val="22"/>
              </w:rPr>
              <w:t xml:space="preserve">Altri servizi generali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4420623E" w14:textId="77777777" w:rsidR="00F10648" w:rsidRPr="00284113" w:rsidRDefault="00F10648" w:rsidP="00FE44E8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284113">
              <w:rPr>
                <w:rFonts w:ascii="Calibri" w:hAnsi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2965B8AB" w14:textId="77777777" w:rsidR="00F10648" w:rsidRPr="00E164A0" w:rsidRDefault="00F10648" w:rsidP="00FE44E8">
            <w:pPr>
              <w:jc w:val="center"/>
              <w:rPr>
                <w:rFonts w:ascii="Calibri" w:hAnsi="Calibri"/>
                <w:color w:val="000000"/>
              </w:rPr>
            </w:pPr>
            <w:r w:rsidRPr="00C17611">
              <w:rPr>
                <w:rFonts w:ascii="Calibri" w:hAnsi="Calibri"/>
                <w:color w:val="000000"/>
                <w:sz w:val="22"/>
                <w:szCs w:val="22"/>
              </w:rPr>
              <w:t>Spese correnti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3E6A5149" w14:textId="77777777" w:rsidR="00F10648" w:rsidRPr="00092389" w:rsidRDefault="00F10648" w:rsidP="00FE4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9" w:type="pct"/>
            <w:vAlign w:val="center"/>
          </w:tcPr>
          <w:p w14:paraId="0FBD3D35" w14:textId="58949249" w:rsidR="00F10648" w:rsidRPr="00092389" w:rsidRDefault="00F10648" w:rsidP="00FE44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-2.000,00</w:t>
            </w:r>
          </w:p>
        </w:tc>
        <w:tc>
          <w:tcPr>
            <w:tcW w:w="816" w:type="pct"/>
            <w:vMerge/>
            <w:vAlign w:val="center"/>
          </w:tcPr>
          <w:p w14:paraId="69E1CC01" w14:textId="77777777" w:rsidR="00F10648" w:rsidRPr="00092389" w:rsidRDefault="00F10648" w:rsidP="00FE44E8">
            <w:pPr>
              <w:jc w:val="both"/>
              <w:rPr>
                <w:rFonts w:ascii="Arial" w:hAnsi="Arial" w:cs="Arial"/>
              </w:rPr>
            </w:pPr>
          </w:p>
        </w:tc>
      </w:tr>
    </w:tbl>
    <w:p w14:paraId="09D7592B" w14:textId="77777777" w:rsidR="00431701" w:rsidRDefault="00431701" w:rsidP="009B18EA"/>
    <w:sectPr w:rsidR="00431701" w:rsidSect="00DF205D">
      <w:footerReference w:type="default" r:id="rId8"/>
      <w:pgSz w:w="16838" w:h="11906" w:orient="landscape"/>
      <w:pgMar w:top="426" w:right="1134" w:bottom="0" w:left="1418" w:header="709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11468" w14:textId="77777777" w:rsidR="00DD01A7" w:rsidRDefault="00DD01A7" w:rsidP="00725AAD">
      <w:r>
        <w:separator/>
      </w:r>
    </w:p>
  </w:endnote>
  <w:endnote w:type="continuationSeparator" w:id="0">
    <w:p w14:paraId="47417270" w14:textId="77777777" w:rsidR="00DD01A7" w:rsidRDefault="00DD01A7" w:rsidP="00725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5447965"/>
      <w:docPartObj>
        <w:docPartGallery w:val="Page Numbers (Bottom of Page)"/>
        <w:docPartUnique/>
      </w:docPartObj>
    </w:sdtPr>
    <w:sdtEndPr/>
    <w:sdtContent>
      <w:p w14:paraId="2EC4EE77" w14:textId="77777777" w:rsidR="00725AAD" w:rsidRDefault="00FE1515">
        <w:pPr>
          <w:pStyle w:val="Pidipagina"/>
          <w:jc w:val="center"/>
        </w:pPr>
        <w:r>
          <w:t xml:space="preserve"> </w:t>
        </w:r>
      </w:p>
    </w:sdtContent>
  </w:sdt>
  <w:p w14:paraId="53FD05AC" w14:textId="77777777" w:rsidR="00725AAD" w:rsidRDefault="00725AA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847BF9" w14:textId="77777777" w:rsidR="00DD01A7" w:rsidRDefault="00DD01A7" w:rsidP="00725AAD">
      <w:r>
        <w:separator/>
      </w:r>
    </w:p>
  </w:footnote>
  <w:footnote w:type="continuationSeparator" w:id="0">
    <w:p w14:paraId="738436C4" w14:textId="77777777" w:rsidR="00DD01A7" w:rsidRDefault="00DD01A7" w:rsidP="00725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F1ECB"/>
    <w:multiLevelType w:val="hybridMultilevel"/>
    <w:tmpl w:val="2580219A"/>
    <w:lvl w:ilvl="0" w:tplc="A7D2B40E">
      <w:start w:val="2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26F9"/>
    <w:rsid w:val="00004462"/>
    <w:rsid w:val="00067338"/>
    <w:rsid w:val="00092389"/>
    <w:rsid w:val="000D06C7"/>
    <w:rsid w:val="000E2044"/>
    <w:rsid w:val="000E654E"/>
    <w:rsid w:val="0011224A"/>
    <w:rsid w:val="00135216"/>
    <w:rsid w:val="00136F83"/>
    <w:rsid w:val="0014170C"/>
    <w:rsid w:val="0017769C"/>
    <w:rsid w:val="00193993"/>
    <w:rsid w:val="001B5BB7"/>
    <w:rsid w:val="00221742"/>
    <w:rsid w:val="002247B6"/>
    <w:rsid w:val="00267240"/>
    <w:rsid w:val="002831E4"/>
    <w:rsid w:val="00284113"/>
    <w:rsid w:val="002A38BF"/>
    <w:rsid w:val="002A5B1A"/>
    <w:rsid w:val="002B26F9"/>
    <w:rsid w:val="002F2877"/>
    <w:rsid w:val="00335DD3"/>
    <w:rsid w:val="00346DAC"/>
    <w:rsid w:val="003501B3"/>
    <w:rsid w:val="003948C7"/>
    <w:rsid w:val="003A2844"/>
    <w:rsid w:val="003A716C"/>
    <w:rsid w:val="00431701"/>
    <w:rsid w:val="00434078"/>
    <w:rsid w:val="004A58B2"/>
    <w:rsid w:val="004B6EFB"/>
    <w:rsid w:val="004E0713"/>
    <w:rsid w:val="005104D2"/>
    <w:rsid w:val="00523D84"/>
    <w:rsid w:val="00537183"/>
    <w:rsid w:val="00580755"/>
    <w:rsid w:val="005972CF"/>
    <w:rsid w:val="005F12DA"/>
    <w:rsid w:val="005F6128"/>
    <w:rsid w:val="006327C8"/>
    <w:rsid w:val="006A66B8"/>
    <w:rsid w:val="006C21C0"/>
    <w:rsid w:val="006C7A7A"/>
    <w:rsid w:val="00723FBF"/>
    <w:rsid w:val="00725AAD"/>
    <w:rsid w:val="00753956"/>
    <w:rsid w:val="0075406F"/>
    <w:rsid w:val="007600E0"/>
    <w:rsid w:val="007B13ED"/>
    <w:rsid w:val="007B6258"/>
    <w:rsid w:val="007D4C57"/>
    <w:rsid w:val="00832D05"/>
    <w:rsid w:val="0086235B"/>
    <w:rsid w:val="008A35D7"/>
    <w:rsid w:val="008E2D37"/>
    <w:rsid w:val="00905FFA"/>
    <w:rsid w:val="00990128"/>
    <w:rsid w:val="009B18EA"/>
    <w:rsid w:val="009D4C53"/>
    <w:rsid w:val="009E537D"/>
    <w:rsid w:val="00A0660C"/>
    <w:rsid w:val="00A119DB"/>
    <w:rsid w:val="00A159B4"/>
    <w:rsid w:val="00A21A84"/>
    <w:rsid w:val="00A437E4"/>
    <w:rsid w:val="00A609EA"/>
    <w:rsid w:val="00AB0A0A"/>
    <w:rsid w:val="00AC763E"/>
    <w:rsid w:val="00AD2DCA"/>
    <w:rsid w:val="00B075BA"/>
    <w:rsid w:val="00B62E09"/>
    <w:rsid w:val="00B64F08"/>
    <w:rsid w:val="00B7445C"/>
    <w:rsid w:val="00B91969"/>
    <w:rsid w:val="00BC2E62"/>
    <w:rsid w:val="00BE3C8D"/>
    <w:rsid w:val="00BF339B"/>
    <w:rsid w:val="00BF5EA5"/>
    <w:rsid w:val="00C4144C"/>
    <w:rsid w:val="00C75A55"/>
    <w:rsid w:val="00C81BC9"/>
    <w:rsid w:val="00CC0A14"/>
    <w:rsid w:val="00CD40BD"/>
    <w:rsid w:val="00D13BFA"/>
    <w:rsid w:val="00D71EAC"/>
    <w:rsid w:val="00D72A15"/>
    <w:rsid w:val="00D72E9E"/>
    <w:rsid w:val="00D809FD"/>
    <w:rsid w:val="00DA573C"/>
    <w:rsid w:val="00DD01A7"/>
    <w:rsid w:val="00DE2B22"/>
    <w:rsid w:val="00DF205D"/>
    <w:rsid w:val="00E13824"/>
    <w:rsid w:val="00E164A0"/>
    <w:rsid w:val="00EB153E"/>
    <w:rsid w:val="00ED25D5"/>
    <w:rsid w:val="00EF012D"/>
    <w:rsid w:val="00F058C0"/>
    <w:rsid w:val="00F10648"/>
    <w:rsid w:val="00F2340C"/>
    <w:rsid w:val="00F5431A"/>
    <w:rsid w:val="00F94BA3"/>
    <w:rsid w:val="00FA0C30"/>
    <w:rsid w:val="00FE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950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0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25AA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5AAD"/>
  </w:style>
  <w:style w:type="paragraph" w:styleId="Pidipagina">
    <w:name w:val="footer"/>
    <w:basedOn w:val="Normale"/>
    <w:link w:val="PidipaginaCarattere"/>
    <w:uiPriority w:val="99"/>
    <w:unhideWhenUsed/>
    <w:rsid w:val="00725AA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5AAD"/>
  </w:style>
  <w:style w:type="paragraph" w:styleId="Paragrafoelenco">
    <w:name w:val="List Paragraph"/>
    <w:basedOn w:val="Normale"/>
    <w:uiPriority w:val="34"/>
    <w:qFormat/>
    <w:rsid w:val="00A21A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8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Grassi Leonardo</dc:creator>
  <cp:lastModifiedBy>.</cp:lastModifiedBy>
  <cp:revision>80</cp:revision>
  <cp:lastPrinted>2019-02-13T13:36:00Z</cp:lastPrinted>
  <dcterms:created xsi:type="dcterms:W3CDTF">2017-01-31T08:19:00Z</dcterms:created>
  <dcterms:modified xsi:type="dcterms:W3CDTF">2022-03-24T09:54:00Z</dcterms:modified>
</cp:coreProperties>
</file>