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8DC24" w14:textId="77777777" w:rsidR="002B26F9" w:rsidRPr="00E543F7" w:rsidRDefault="002B26F9" w:rsidP="002B26F9">
      <w:pPr>
        <w:jc w:val="right"/>
        <w:rPr>
          <w:rFonts w:asciiTheme="minorHAnsi" w:hAnsiTheme="minorHAnsi" w:cstheme="minorHAnsi"/>
          <w:b/>
        </w:rPr>
      </w:pPr>
      <w:r w:rsidRPr="00E543F7">
        <w:rPr>
          <w:rFonts w:asciiTheme="minorHAnsi" w:hAnsiTheme="minorHAnsi" w:cstheme="minorHAnsi"/>
          <w:b/>
        </w:rPr>
        <w:t>Allegato A</w:t>
      </w:r>
    </w:p>
    <w:p w14:paraId="34A21976" w14:textId="77777777" w:rsidR="002B26F9" w:rsidRPr="00E543F7" w:rsidRDefault="002B26F9">
      <w:pPr>
        <w:rPr>
          <w:rFonts w:asciiTheme="minorHAnsi" w:hAnsiTheme="minorHAnsi" w:cstheme="minorHAnsi"/>
        </w:rPr>
      </w:pPr>
    </w:p>
    <w:p w14:paraId="49B7892D" w14:textId="77777777" w:rsidR="002B26F9" w:rsidRPr="00E543F7" w:rsidRDefault="002B26F9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145"/>
        <w:gridCol w:w="1137"/>
        <w:gridCol w:w="1362"/>
        <w:gridCol w:w="2865"/>
      </w:tblGrid>
      <w:tr w:rsidR="002B26F9" w:rsidRPr="00E543F7" w14:paraId="5A44A861" w14:textId="77777777" w:rsidTr="00BE03FB">
        <w:trPr>
          <w:trHeight w:val="288"/>
        </w:trPr>
        <w:tc>
          <w:tcPr>
            <w:tcW w:w="2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5DDD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ENTRATA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AAF1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E094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5F84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04F3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26F9" w:rsidRPr="00E543F7" w14:paraId="473E96AC" w14:textId="77777777" w:rsidTr="00BE03FB">
        <w:trPr>
          <w:trHeight w:val="8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3BB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_Hlk504135976"/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Applicazione Avanzo esercizio precedente - parte entrata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563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Titolo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99B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Tipologia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5D9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Categoria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E2B" w14:textId="77777777" w:rsidR="009D4C53" w:rsidRPr="00E543F7" w:rsidRDefault="002B26F9" w:rsidP="00C600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Variazione in aumento competenza anno 20</w:t>
            </w:r>
            <w:r w:rsidR="004673E8"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C60051" w:rsidRPr="00E543F7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</w:tr>
      <w:bookmarkEnd w:id="0"/>
      <w:tr w:rsidR="009D4C53" w:rsidRPr="00E543F7" w14:paraId="32C29687" w14:textId="77777777" w:rsidTr="00BE03FB">
        <w:trPr>
          <w:trHeight w:val="576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1029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Applicazione quota parte avanzo amministrazione esercizio precedente - parte accantonata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044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75B4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74E6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4B8" w14:textId="77777777" w:rsidR="009D4C53" w:rsidRPr="00E543F7" w:rsidRDefault="008D5D8C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4.448.456,40  </w:t>
            </w:r>
            <w:r w:rsidRPr="00E543F7">
              <w:rPr>
                <w:rFonts w:asciiTheme="minorHAnsi" w:hAnsiTheme="minorHAnsi" w:cstheme="minorHAnsi"/>
              </w:rPr>
              <w:t xml:space="preserve">   </w:t>
            </w: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9D4C53" w:rsidRPr="00E543F7" w14:paraId="52739422" w14:textId="77777777" w:rsidTr="008D5D8C">
        <w:trPr>
          <w:trHeight w:val="941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9128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Applicazione quota parte avanzo amministrazione esercizio precedente - parte vincolata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9CBF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6E9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539" w14:textId="77777777" w:rsidR="009D4C53" w:rsidRPr="00E543F7" w:rsidRDefault="009D4C53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379D" w14:textId="77777777" w:rsidR="00B406CD" w:rsidRPr="00E543F7" w:rsidRDefault="00B406CD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8EB3596" w14:textId="77777777" w:rsidR="009D4C53" w:rsidRPr="00E543F7" w:rsidRDefault="008D5D8C" w:rsidP="004673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3F7">
              <w:rPr>
                <w:rFonts w:asciiTheme="minorHAnsi" w:hAnsiTheme="minorHAnsi" w:cstheme="minorHAnsi"/>
                <w:bCs/>
                <w:iCs/>
              </w:rPr>
              <w:fldChar w:fldCharType="begin"/>
            </w:r>
            <w:r w:rsidRPr="00E543F7">
              <w:rPr>
                <w:rFonts w:asciiTheme="minorHAnsi" w:hAnsiTheme="minorHAnsi" w:cstheme="minorHAnsi"/>
                <w:bCs/>
                <w:iCs/>
              </w:rPr>
              <w:instrText xml:space="preserve"> =SUM(ABOVE) </w:instrText>
            </w:r>
            <w:r w:rsidRPr="00E543F7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E543F7">
              <w:rPr>
                <w:rFonts w:asciiTheme="minorHAnsi" w:hAnsiTheme="minorHAnsi" w:cstheme="minorHAnsi"/>
                <w:bCs/>
                <w:iCs/>
                <w:noProof/>
              </w:rPr>
              <w:t>338.829,08</w:t>
            </w:r>
            <w:r w:rsidRPr="00E543F7">
              <w:rPr>
                <w:rFonts w:asciiTheme="minorHAnsi" w:hAnsiTheme="minorHAnsi" w:cstheme="minorHAnsi"/>
                <w:bCs/>
                <w:iCs/>
              </w:rPr>
              <w:fldChar w:fldCharType="end"/>
            </w:r>
          </w:p>
        </w:tc>
      </w:tr>
      <w:tr w:rsidR="002B26F9" w:rsidRPr="00E543F7" w14:paraId="076CA7C4" w14:textId="77777777" w:rsidTr="008D5D8C">
        <w:trPr>
          <w:trHeight w:val="700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BD16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color w:val="000000"/>
              </w:rPr>
              <w:t>Totale complessivo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B94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44B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E536" w14:textId="77777777" w:rsidR="002B26F9" w:rsidRPr="00E543F7" w:rsidRDefault="002B26F9" w:rsidP="004673E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9A7" w14:textId="77777777" w:rsidR="002B26F9" w:rsidRPr="00E543F7" w:rsidRDefault="009D4C53" w:rsidP="008D5D8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543F7">
              <w:rPr>
                <w:rFonts w:asciiTheme="minorHAnsi" w:hAnsiTheme="minorHAnsi" w:cstheme="minorHAnsi"/>
                <w:b/>
                <w:color w:val="000000"/>
              </w:rPr>
              <w:fldChar w:fldCharType="begin"/>
            </w:r>
            <w:r w:rsidRPr="00E543F7">
              <w:rPr>
                <w:rFonts w:asciiTheme="minorHAnsi" w:hAnsiTheme="minorHAnsi" w:cstheme="minorHAnsi"/>
                <w:b/>
                <w:color w:val="000000"/>
              </w:rPr>
              <w:instrText xml:space="preserve"> =SUM(ABOVE) </w:instrText>
            </w:r>
            <w:r w:rsidRPr="00E543F7">
              <w:rPr>
                <w:rFonts w:asciiTheme="minorHAnsi" w:hAnsiTheme="minorHAnsi" w:cstheme="minorHAnsi"/>
                <w:b/>
                <w:color w:val="000000"/>
              </w:rPr>
              <w:fldChar w:fldCharType="end"/>
            </w:r>
            <w:r w:rsidR="008D5D8C" w:rsidRPr="00E543F7">
              <w:rPr>
                <w:rFonts w:asciiTheme="minorHAnsi" w:hAnsiTheme="minorHAnsi" w:cstheme="minorHAnsi"/>
                <w:b/>
                <w:color w:val="000000"/>
              </w:rPr>
              <w:fldChar w:fldCharType="begin"/>
            </w:r>
            <w:r w:rsidR="008D5D8C" w:rsidRPr="00E543F7">
              <w:rPr>
                <w:rFonts w:asciiTheme="minorHAnsi" w:hAnsiTheme="minorHAnsi" w:cstheme="minorHAnsi"/>
                <w:b/>
                <w:color w:val="000000"/>
              </w:rPr>
              <w:instrText xml:space="preserve"> =SUM(ABOVE) </w:instrText>
            </w:r>
            <w:r w:rsidR="008D5D8C" w:rsidRPr="00E543F7">
              <w:rPr>
                <w:rFonts w:asciiTheme="minorHAnsi" w:hAnsiTheme="minorHAnsi" w:cstheme="minorHAnsi"/>
                <w:b/>
                <w:color w:val="000000"/>
              </w:rPr>
              <w:fldChar w:fldCharType="separate"/>
            </w:r>
            <w:r w:rsidR="008D5D8C" w:rsidRPr="00E543F7">
              <w:rPr>
                <w:rFonts w:asciiTheme="minorHAnsi" w:hAnsiTheme="minorHAnsi" w:cstheme="minorHAnsi"/>
                <w:b/>
                <w:noProof/>
                <w:color w:val="000000"/>
              </w:rPr>
              <w:t>4.787.285,48</w:t>
            </w:r>
            <w:r w:rsidR="008D5D8C" w:rsidRPr="00E543F7">
              <w:rPr>
                <w:rFonts w:asciiTheme="minorHAnsi" w:hAnsiTheme="minorHAnsi" w:cstheme="minorHAnsi"/>
                <w:b/>
                <w:color w:val="000000"/>
              </w:rPr>
              <w:fldChar w:fldCharType="end"/>
            </w:r>
            <w:r w:rsidR="008D5D8C" w:rsidRPr="00E543F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</w:tbl>
    <w:p w14:paraId="6E6CB13D" w14:textId="77777777" w:rsidR="00725AAD" w:rsidRPr="00E543F7" w:rsidRDefault="00725AAD">
      <w:pPr>
        <w:rPr>
          <w:rFonts w:asciiTheme="minorHAnsi" w:hAnsiTheme="minorHAnsi" w:cstheme="minorHAnsi"/>
        </w:rPr>
      </w:pPr>
    </w:p>
    <w:p w14:paraId="5AD86359" w14:textId="77777777" w:rsidR="008A35D7" w:rsidRPr="00E543F7" w:rsidRDefault="008A35D7">
      <w:pPr>
        <w:rPr>
          <w:rFonts w:asciiTheme="minorHAnsi" w:hAnsiTheme="minorHAnsi" w:cstheme="minorHAnsi"/>
        </w:rPr>
      </w:pPr>
    </w:p>
    <w:p w14:paraId="3A6846A4" w14:textId="77777777" w:rsidR="008A35D7" w:rsidRPr="00E543F7" w:rsidRDefault="005F12DA">
      <w:pPr>
        <w:rPr>
          <w:rFonts w:asciiTheme="minorHAnsi" w:hAnsiTheme="minorHAnsi" w:cstheme="minorHAnsi"/>
        </w:rPr>
      </w:pPr>
      <w:r w:rsidRPr="00E543F7">
        <w:rPr>
          <w:rFonts w:asciiTheme="minorHAnsi" w:hAnsiTheme="minorHAnsi" w:cstheme="minorHAnsi"/>
        </w:rPr>
        <w:t xml:space="preserve"> </w:t>
      </w:r>
    </w:p>
    <w:p w14:paraId="4D6ADE57" w14:textId="77777777" w:rsidR="008A35D7" w:rsidRPr="00E543F7" w:rsidRDefault="004A58B2">
      <w:pPr>
        <w:rPr>
          <w:rFonts w:asciiTheme="minorHAnsi" w:hAnsiTheme="minorHAnsi" w:cstheme="minorHAnsi"/>
        </w:rPr>
      </w:pPr>
      <w:r w:rsidRPr="00E543F7">
        <w:rPr>
          <w:rFonts w:asciiTheme="minorHAnsi" w:hAnsiTheme="minorHAnsi" w:cstheme="minorHAnsi"/>
        </w:rPr>
        <w:t xml:space="preserve"> </w:t>
      </w:r>
      <w:r w:rsidR="00DC6CF9">
        <w:rPr>
          <w:rFonts w:asciiTheme="minorHAnsi" w:hAnsiTheme="minorHAnsi" w:cstheme="minorHAnsi"/>
        </w:rPr>
        <w:t xml:space="preserve"> </w:t>
      </w:r>
    </w:p>
    <w:p w14:paraId="17E08481" w14:textId="77777777" w:rsidR="008A35D7" w:rsidRDefault="003A2844">
      <w:r>
        <w:t xml:space="preserve"> </w:t>
      </w:r>
    </w:p>
    <w:p w14:paraId="1B47F4A0" w14:textId="77777777" w:rsidR="008A35D7" w:rsidRDefault="008A35D7"/>
    <w:p w14:paraId="32805499" w14:textId="77777777" w:rsidR="008A35D7" w:rsidRDefault="008A35D7"/>
    <w:p w14:paraId="003A4D73" w14:textId="77777777" w:rsidR="008A35D7" w:rsidRDefault="008A35D7"/>
    <w:p w14:paraId="57B9DC6A" w14:textId="77777777" w:rsidR="007600E0" w:rsidRDefault="007600E0"/>
    <w:p w14:paraId="1049ABB9" w14:textId="77777777" w:rsidR="007600E0" w:rsidRDefault="007600E0"/>
    <w:p w14:paraId="754D9891" w14:textId="77777777" w:rsidR="007600E0" w:rsidRDefault="007600E0"/>
    <w:p w14:paraId="3CE2F401" w14:textId="77777777" w:rsidR="007600E0" w:rsidRDefault="007600E0"/>
    <w:p w14:paraId="69B7919E" w14:textId="5CAA89B0" w:rsidR="007600E0" w:rsidRDefault="001D2CDA">
      <w:r>
        <w:t xml:space="preserve"> </w:t>
      </w:r>
    </w:p>
    <w:p w14:paraId="425A50A3" w14:textId="77777777" w:rsidR="00B91969" w:rsidRDefault="00B91969"/>
    <w:p w14:paraId="1DD448D2" w14:textId="77777777" w:rsidR="00B91969" w:rsidRDefault="00B91969"/>
    <w:p w14:paraId="73FA5E54" w14:textId="77777777" w:rsidR="00B91969" w:rsidRDefault="00B91969"/>
    <w:p w14:paraId="6701A5A3" w14:textId="77777777" w:rsidR="00B91969" w:rsidRDefault="00B91969"/>
    <w:p w14:paraId="453C586C" w14:textId="77777777" w:rsidR="00B91969" w:rsidRDefault="00B91969"/>
    <w:p w14:paraId="37190AE4" w14:textId="77777777" w:rsidR="00B91969" w:rsidRDefault="00B91969"/>
    <w:p w14:paraId="56C396A2" w14:textId="77777777" w:rsidR="00B91969" w:rsidRDefault="00B91969"/>
    <w:p w14:paraId="28769B78" w14:textId="77777777" w:rsidR="008A35D7" w:rsidRDefault="008A35D7"/>
    <w:p w14:paraId="69372388" w14:textId="77777777" w:rsidR="00BE03FB" w:rsidRDefault="00BE03FB"/>
    <w:p w14:paraId="035B098D" w14:textId="77777777" w:rsidR="00BE03FB" w:rsidRDefault="00BE03FB"/>
    <w:p w14:paraId="568A2456" w14:textId="77777777" w:rsidR="00753956" w:rsidRPr="00E543F7" w:rsidRDefault="00753956">
      <w:pPr>
        <w:rPr>
          <w:rFonts w:asciiTheme="minorHAnsi" w:hAnsiTheme="minorHAnsi" w:cstheme="minorHAnsi"/>
        </w:rPr>
      </w:pPr>
    </w:p>
    <w:p w14:paraId="0CA0E757" w14:textId="77777777" w:rsidR="00EA0E8C" w:rsidRDefault="00753956">
      <w:pPr>
        <w:rPr>
          <w:rFonts w:asciiTheme="minorHAnsi" w:hAnsiTheme="minorHAnsi" w:cstheme="minorHAnsi"/>
          <w:b/>
        </w:rPr>
      </w:pPr>
      <w:r w:rsidRPr="00E543F7">
        <w:rPr>
          <w:rFonts w:asciiTheme="minorHAnsi" w:hAnsiTheme="minorHAnsi" w:cstheme="minorHAnsi"/>
          <w:b/>
        </w:rPr>
        <w:t>SPESA</w:t>
      </w:r>
      <w:r w:rsidR="00FE1515" w:rsidRPr="00E543F7">
        <w:rPr>
          <w:rFonts w:asciiTheme="minorHAnsi" w:hAnsiTheme="minorHAnsi" w:cstheme="minorHAnsi"/>
          <w:b/>
        </w:rPr>
        <w:t xml:space="preserve"> - variazioni di sintesi</w:t>
      </w:r>
      <w:r w:rsidR="00EF012D" w:rsidRPr="00E543F7">
        <w:rPr>
          <w:rFonts w:asciiTheme="minorHAnsi" w:hAnsiTheme="minorHAnsi" w:cstheme="minorHAnsi"/>
          <w:b/>
        </w:rPr>
        <w:t xml:space="preserve"> </w:t>
      </w:r>
      <w:r w:rsidR="00B35CF5" w:rsidRPr="00E543F7">
        <w:rPr>
          <w:rFonts w:asciiTheme="minorHAnsi" w:hAnsiTheme="minorHAnsi" w:cstheme="minorHAnsi"/>
          <w:b/>
        </w:rPr>
        <w:t xml:space="preserve">rappresentazione </w:t>
      </w:r>
      <w:r w:rsidR="00EF012D" w:rsidRPr="00E543F7">
        <w:rPr>
          <w:rFonts w:asciiTheme="minorHAnsi" w:hAnsiTheme="minorHAnsi" w:cstheme="minorHAnsi"/>
          <w:b/>
        </w:rPr>
        <w:t>per missione/programma/titoli</w:t>
      </w:r>
    </w:p>
    <w:p w14:paraId="13D79DE5" w14:textId="77777777" w:rsidR="00E543F7" w:rsidRPr="00E543F7" w:rsidRDefault="00E543F7">
      <w:pPr>
        <w:rPr>
          <w:rFonts w:asciiTheme="minorHAnsi" w:hAnsiTheme="minorHAnsi" w:cstheme="minorHAnsi"/>
          <w:b/>
        </w:rPr>
      </w:pPr>
    </w:p>
    <w:tbl>
      <w:tblPr>
        <w:tblW w:w="56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889"/>
        <w:gridCol w:w="1720"/>
        <w:gridCol w:w="1116"/>
        <w:gridCol w:w="3079"/>
        <w:gridCol w:w="797"/>
        <w:gridCol w:w="1956"/>
        <w:gridCol w:w="1429"/>
        <w:gridCol w:w="3350"/>
      </w:tblGrid>
      <w:tr w:rsidR="00EA0E8C" w:rsidRPr="00E543F7" w14:paraId="7B620BB0" w14:textId="77777777" w:rsidTr="00EA0E8C">
        <w:trPr>
          <w:trHeight w:val="864"/>
          <w:tblHeader/>
          <w:jc w:val="center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110E3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Applicazione Avanzo esercizio precedente - parte spesa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1C53B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Missione (codice)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78506E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Missione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290A9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Programma  (codice)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4713F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Programma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94D2A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Titolo (codice)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F1FE79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Titolo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C6D54" w14:textId="77777777" w:rsidR="005364A8" w:rsidRPr="00E543F7" w:rsidRDefault="005364A8" w:rsidP="00C6005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 xml:space="preserve">  Variazione in aumento competenza e cassa anno 2021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BB2407" w14:textId="77777777" w:rsidR="005364A8" w:rsidRPr="00E543F7" w:rsidRDefault="005364A8" w:rsidP="005364A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3F7">
              <w:rPr>
                <w:rFonts w:asciiTheme="minorHAnsi" w:hAnsiTheme="minorHAnsi" w:cstheme="minorHAnsi"/>
                <w:b/>
                <w:bCs/>
                <w:sz w:val="20"/>
              </w:rPr>
              <w:t>Motivazione</w:t>
            </w:r>
          </w:p>
        </w:tc>
      </w:tr>
      <w:tr w:rsidR="00D53546" w:rsidRPr="00E543F7" w14:paraId="10A7D27A" w14:textId="77777777" w:rsidTr="00DB4E81">
        <w:trPr>
          <w:trHeight w:val="560"/>
          <w:jc w:val="center"/>
        </w:trPr>
        <w:tc>
          <w:tcPr>
            <w:tcW w:w="5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565" w14:textId="77777777" w:rsidR="00D53546" w:rsidRPr="00E543F7" w:rsidRDefault="00D53546" w:rsidP="002B26F9">
            <w:pPr>
              <w:rPr>
                <w:rFonts w:asciiTheme="minorHAnsi" w:hAnsiTheme="minorHAnsi" w:cstheme="minorHAnsi"/>
              </w:rPr>
            </w:pPr>
            <w:bookmarkStart w:id="1" w:name="_Hlk504135374"/>
            <w:r w:rsidRPr="00E543F7">
              <w:rPr>
                <w:rFonts w:asciiTheme="minorHAnsi" w:hAnsiTheme="minorHAnsi" w:cstheme="minorHAnsi"/>
              </w:rPr>
              <w:t>Applicazione parte spesa - quota accantonata</w:t>
            </w:r>
          </w:p>
          <w:p w14:paraId="46440AA3" w14:textId="77777777" w:rsidR="00D53546" w:rsidRPr="00E543F7" w:rsidRDefault="00D53546" w:rsidP="00D53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E4D" w14:textId="77777777" w:rsidR="00D53546" w:rsidRPr="00E543F7" w:rsidRDefault="00D53546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C6B4" w14:textId="77777777" w:rsidR="00D53546" w:rsidRPr="00E543F7" w:rsidRDefault="00D53546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D336" w14:textId="77777777" w:rsidR="00D53546" w:rsidRPr="00E543F7" w:rsidRDefault="00D53546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712" w14:textId="77777777" w:rsidR="00D53546" w:rsidRPr="00E543F7" w:rsidRDefault="00D53546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8F6" w14:textId="77777777" w:rsidR="00D53546" w:rsidRPr="00E543F7" w:rsidRDefault="00D53546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4A6A" w14:textId="77777777" w:rsidR="00D53546" w:rsidRPr="00E543F7" w:rsidRDefault="00D53546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B56D" w14:textId="77777777" w:rsidR="00D53546" w:rsidRPr="00E543F7" w:rsidRDefault="00D53546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FE62B" w14:textId="77777777" w:rsidR="00D53546" w:rsidRPr="00E543F7" w:rsidRDefault="00D53546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DFC14" w14:textId="77777777" w:rsidR="00D53546" w:rsidRPr="00E543F7" w:rsidRDefault="00D53546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2.948.456,40  </w:t>
            </w:r>
          </w:p>
          <w:p w14:paraId="2D1C59DE" w14:textId="77777777" w:rsidR="00D53546" w:rsidRPr="00E543F7" w:rsidRDefault="00D53546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61E1" w14:textId="77777777" w:rsidR="00D53546" w:rsidRPr="00E543F7" w:rsidRDefault="00D53546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Fondo contenzioso</w:t>
            </w:r>
          </w:p>
        </w:tc>
      </w:tr>
      <w:bookmarkEnd w:id="1"/>
      <w:tr w:rsidR="00D53546" w:rsidRPr="00E543F7" w14:paraId="64DB95DB" w14:textId="77777777" w:rsidTr="00DB4E81">
        <w:trPr>
          <w:trHeight w:val="560"/>
          <w:jc w:val="center"/>
        </w:trPr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4EB7" w14:textId="77777777" w:rsidR="00D53546" w:rsidRPr="00E543F7" w:rsidRDefault="00D53546" w:rsidP="00D53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8564" w14:textId="77777777" w:rsidR="00D53546" w:rsidRPr="00E543F7" w:rsidRDefault="00D53546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2F09" w14:textId="77777777" w:rsidR="00D53546" w:rsidRPr="00E543F7" w:rsidRDefault="00D53546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Fondi e accantonamenti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40B8" w14:textId="77777777" w:rsidR="00D53546" w:rsidRPr="00E543F7" w:rsidRDefault="00D53546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7B28" w14:textId="77777777" w:rsidR="00D53546" w:rsidRPr="00E543F7" w:rsidRDefault="00D53546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fondi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CBA" w14:textId="77777777" w:rsidR="00D53546" w:rsidRPr="00E543F7" w:rsidRDefault="00D53546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EB8C" w14:textId="77777777" w:rsidR="00D53546" w:rsidRPr="00E543F7" w:rsidRDefault="00D53546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CFE" w14:textId="77777777" w:rsidR="00D53546" w:rsidRPr="00E543F7" w:rsidRDefault="00D53546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1.500.000,00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9BA9" w14:textId="77777777" w:rsidR="00D53546" w:rsidRPr="00E543F7" w:rsidRDefault="00D53546" w:rsidP="005364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Quote non utilizzate al 31/12/2020 fondo speciale per finanziamento  provvedimenti  legislativi del Consiglio regionale per spese correnti in corso di approvazione ex art. 49 comma 5 d.lgs. 118/2011</w:t>
            </w:r>
          </w:p>
        </w:tc>
      </w:tr>
      <w:tr w:rsidR="00EA0E8C" w:rsidRPr="00E543F7" w14:paraId="6A2CE814" w14:textId="77777777" w:rsidTr="00EA0E8C">
        <w:trPr>
          <w:trHeight w:val="288"/>
          <w:jc w:val="center"/>
        </w:trPr>
        <w:tc>
          <w:tcPr>
            <w:tcW w:w="35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710EF50" w14:textId="77777777" w:rsidR="005364A8" w:rsidRPr="00E543F7" w:rsidRDefault="005364A8" w:rsidP="002B26F9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>Totale</w:t>
            </w:r>
            <w:r w:rsidR="003370D1"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parziale</w:t>
            </w: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9BA76" w14:textId="77777777" w:rsidR="005364A8" w:rsidRPr="00E543F7" w:rsidRDefault="005364A8" w:rsidP="00D77708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4.448.456,40  </w:t>
            </w:r>
            <w:r w:rsidRPr="00E543F7">
              <w:rPr>
                <w:rFonts w:asciiTheme="minorHAnsi" w:hAnsiTheme="minorHAnsi" w:cstheme="minorHAnsi"/>
                <w:b/>
              </w:rPr>
              <w:t xml:space="preserve">   </w:t>
            </w:r>
            <w:r w:rsidRPr="00E543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331802" w14:textId="77777777" w:rsidR="005364A8" w:rsidRPr="00E543F7" w:rsidRDefault="005364A8" w:rsidP="005364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0E8C" w:rsidRPr="00E543F7" w14:paraId="7A0033E9" w14:textId="77777777" w:rsidTr="00EA0E8C">
        <w:trPr>
          <w:trHeight w:val="230"/>
          <w:jc w:val="center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1EC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6B7DE1D5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574DA62F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58ED3203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1EA48E3C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29F151EA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29E047BD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1C2CED50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Applicazione parte spesa - quota vincolata</w:t>
            </w:r>
          </w:p>
          <w:p w14:paraId="0298CCC4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3AF41F3F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425F7587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632C8B04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3EDE0387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663A1B2C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5E314B9D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242E9DB4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2B64C9CD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549E74EB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5DF84518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187F8EE0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7098E317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</w:p>
          <w:p w14:paraId="344CE0A4" w14:textId="77777777" w:rsidR="00EA0E8C" w:rsidRPr="00E543F7" w:rsidRDefault="00EA0E8C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Applicazione parte spesa - quota vincolata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2D404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lastRenderedPageBreak/>
              <w:t>01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4829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Servizi istituzionali, generali e di gestione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B44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89D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Organi istituzionali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866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EB8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57E" w14:textId="77777777" w:rsidR="005364A8" w:rsidRPr="00E543F7" w:rsidRDefault="005364A8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140.005,21 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54C8" w14:textId="77777777" w:rsidR="00E543F7" w:rsidRPr="00E543F7" w:rsidRDefault="005364A8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Applicazione parte vincolata</w:t>
            </w:r>
          </w:p>
          <w:p w14:paraId="0AF87DD6" w14:textId="77777777" w:rsidR="005364A8" w:rsidRPr="00E543F7" w:rsidRDefault="005364A8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Agcom</w:t>
            </w:r>
          </w:p>
        </w:tc>
      </w:tr>
      <w:tr w:rsidR="00EA0E8C" w:rsidRPr="00E543F7" w14:paraId="0A241C83" w14:textId="77777777" w:rsidTr="00EA0E8C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622F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C79EB0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71EC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62361D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2C60A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Gestione economica, finanziaria,  programmazione, provveditorato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1664" w14:textId="77777777" w:rsidR="005364A8" w:rsidRPr="00E543F7" w:rsidRDefault="005364A8" w:rsidP="003A60E7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F356" w14:textId="77777777" w:rsidR="005364A8" w:rsidRPr="00E543F7" w:rsidRDefault="005364A8" w:rsidP="003A60E7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1192" w14:textId="77777777" w:rsidR="005364A8" w:rsidRPr="00E543F7" w:rsidRDefault="005364A8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1.447,54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D406" w14:textId="77777777" w:rsidR="00E543F7" w:rsidRPr="00E543F7" w:rsidRDefault="005364A8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Applicazione parte vincolata </w:t>
            </w:r>
          </w:p>
          <w:p w14:paraId="1923B6AF" w14:textId="77777777" w:rsidR="005364A8" w:rsidRPr="00E543F7" w:rsidRDefault="005364A8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Agcom</w:t>
            </w:r>
          </w:p>
        </w:tc>
      </w:tr>
      <w:tr w:rsidR="00EA0E8C" w:rsidRPr="00E543F7" w14:paraId="4AF5CD01" w14:textId="77777777" w:rsidTr="00EA0E8C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8543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13339B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9A19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B7944A" w14:textId="77777777" w:rsidR="005364A8" w:rsidRPr="00E543F7" w:rsidRDefault="005364A8" w:rsidP="00D737BB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0A13D" w14:textId="77777777" w:rsidR="005364A8" w:rsidRPr="00E543F7" w:rsidRDefault="005364A8" w:rsidP="00D737BB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Gestione economica, finanziaria,  programmazione, provveditorato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082" w14:textId="77777777" w:rsidR="005364A8" w:rsidRPr="00E543F7" w:rsidRDefault="005364A8" w:rsidP="00D737BB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7BB5" w14:textId="77777777" w:rsidR="005364A8" w:rsidRPr="00E543F7" w:rsidRDefault="005364A8" w:rsidP="00EE74CB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per incremento attività finanziarie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963C" w14:textId="77777777" w:rsidR="005364A8" w:rsidRPr="00E543F7" w:rsidRDefault="00934900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50.000,00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6094" w14:textId="77777777" w:rsidR="005364A8" w:rsidRPr="00E543F7" w:rsidRDefault="00934900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Applicazione parte vincolata</w:t>
            </w:r>
            <w:r w:rsidR="009A38B0"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di cui alla legge regionale 06 agosto 2020, n. 79 "Fondazione per la formazione politica ed istituzionale" relativamente alla spesa per la costituzione del fondo patrimoniale della Fondazione</w:t>
            </w:r>
          </w:p>
        </w:tc>
      </w:tr>
      <w:tr w:rsidR="00EA0E8C" w:rsidRPr="00E543F7" w14:paraId="2CD45438" w14:textId="77777777" w:rsidTr="00EA0E8C">
        <w:trPr>
          <w:trHeight w:val="185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84E4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4E4FD64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9A1A4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1B193F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BB7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 Statistica e sistemi informativi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F8C" w14:textId="77777777" w:rsidR="005364A8" w:rsidRPr="00E543F7" w:rsidRDefault="005364A8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366B" w14:textId="77777777" w:rsidR="005364A8" w:rsidRPr="00E543F7" w:rsidRDefault="005364A8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in conto capitale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AC1" w14:textId="77777777" w:rsidR="005364A8" w:rsidRPr="00E543F7" w:rsidRDefault="005364A8" w:rsidP="005364A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        6.186,91 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C689" w14:textId="77777777" w:rsidR="00E543F7" w:rsidRPr="00E543F7" w:rsidRDefault="005364A8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Applicazione parte vincolata </w:t>
            </w:r>
          </w:p>
          <w:p w14:paraId="697446FD" w14:textId="77777777" w:rsidR="005364A8" w:rsidRPr="00E543F7" w:rsidRDefault="005364A8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Agcom</w:t>
            </w:r>
          </w:p>
        </w:tc>
      </w:tr>
      <w:tr w:rsidR="00EA0E8C" w:rsidRPr="00E543F7" w14:paraId="1BD86E28" w14:textId="77777777" w:rsidTr="00EA0E8C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A8EE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F0A254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519F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2A30" w14:textId="77777777" w:rsidR="00B35CF5" w:rsidRPr="00E543F7" w:rsidRDefault="00B35CF5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3CCA" w14:textId="77777777" w:rsidR="00B35CF5" w:rsidRPr="00E543F7" w:rsidRDefault="00B35CF5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 Statistica e sistemi informativi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AEA" w14:textId="77777777" w:rsidR="00B35CF5" w:rsidRPr="00E543F7" w:rsidRDefault="00B35CF5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A4AC" w14:textId="77777777" w:rsidR="00B35CF5" w:rsidRPr="00E543F7" w:rsidRDefault="00B35CF5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in conto capitale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4973" w14:textId="77777777" w:rsidR="00B35CF5" w:rsidRPr="00E543F7" w:rsidRDefault="00B35CF5" w:rsidP="005364A8">
            <w:pPr>
              <w:jc w:val="righ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6.952,15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C16E" w14:textId="77777777" w:rsidR="00B35CF5" w:rsidRPr="00E543F7" w:rsidRDefault="00B35CF5" w:rsidP="00B35C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Applicazione parte vincolata Osservatorio legislativo interregionale</w:t>
            </w:r>
          </w:p>
        </w:tc>
      </w:tr>
      <w:tr w:rsidR="003370D1" w:rsidRPr="00E543F7" w14:paraId="750EF69F" w14:textId="77777777" w:rsidTr="003370D1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6BC29" w14:textId="77777777" w:rsidR="003370D1" w:rsidRPr="00E543F7" w:rsidRDefault="003370D1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6D639B" w14:textId="77777777" w:rsidR="003370D1" w:rsidRPr="00E543F7" w:rsidRDefault="003370D1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3508" w14:textId="77777777" w:rsidR="003370D1" w:rsidRPr="00E543F7" w:rsidRDefault="003370D1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5A55" w14:textId="77777777" w:rsidR="003370D1" w:rsidRPr="00E543F7" w:rsidRDefault="003370D1" w:rsidP="002B26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5455" w14:textId="77777777" w:rsidR="003370D1" w:rsidRPr="00E543F7" w:rsidRDefault="003370D1" w:rsidP="003370D1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E543F7">
              <w:rPr>
                <w:rFonts w:asciiTheme="minorHAnsi" w:hAnsiTheme="minorHAnsi" w:cstheme="minorHAnsi"/>
                <w:i/>
              </w:rPr>
              <w:t>Totale programma 8 titolo 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1878" w14:textId="77777777" w:rsidR="003370D1" w:rsidRPr="00E543F7" w:rsidRDefault="003370D1" w:rsidP="005364A8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i/>
                <w:sz w:val="20"/>
                <w:szCs w:val="20"/>
              </w:rPr>
              <w:t>13.139,06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9A66" w14:textId="77777777" w:rsidR="003370D1" w:rsidRPr="00E543F7" w:rsidRDefault="003370D1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0E8C" w:rsidRPr="00E543F7" w14:paraId="6D573D6E" w14:textId="77777777" w:rsidTr="00EA0E8C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81B1D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9D500EC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15253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05E9" w14:textId="77777777" w:rsidR="00B35CF5" w:rsidRPr="00E543F7" w:rsidRDefault="00B35CF5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142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Risorse umane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1DC" w14:textId="77777777" w:rsidR="00B35CF5" w:rsidRPr="00E543F7" w:rsidRDefault="00B35CF5" w:rsidP="002B26F9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34E7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75FB" w14:textId="77777777" w:rsidR="00B35CF5" w:rsidRPr="00E543F7" w:rsidRDefault="00B35CF5" w:rsidP="005364A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          13.489,18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05E2" w14:textId="77777777" w:rsidR="00D77708" w:rsidRPr="00E543F7" w:rsidRDefault="00B35CF5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Applicazione parte vincolata </w:t>
            </w:r>
          </w:p>
          <w:p w14:paraId="253E97EE" w14:textId="77777777" w:rsidR="00B35CF5" w:rsidRPr="00E543F7" w:rsidRDefault="00B35CF5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Agcom</w:t>
            </w:r>
          </w:p>
        </w:tc>
      </w:tr>
      <w:tr w:rsidR="00EA0E8C" w:rsidRPr="00E543F7" w14:paraId="1C44F106" w14:textId="77777777" w:rsidTr="00EA0E8C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991A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42E7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6433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A88E" w14:textId="77777777" w:rsidR="00B35CF5" w:rsidRPr="00E543F7" w:rsidRDefault="00B35CF5" w:rsidP="009A6404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9FC" w14:textId="77777777" w:rsidR="00B35CF5" w:rsidRPr="00E543F7" w:rsidRDefault="00B35CF5" w:rsidP="009A6404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Altri servizi generali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4FB0" w14:textId="77777777" w:rsidR="00B35CF5" w:rsidRPr="00E543F7" w:rsidRDefault="00B35CF5" w:rsidP="009A6404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64B" w14:textId="77777777" w:rsidR="00B35CF5" w:rsidRPr="00E543F7" w:rsidRDefault="00B35CF5" w:rsidP="009A6404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6FB1" w14:textId="77777777" w:rsidR="00B35CF5" w:rsidRPr="00E543F7" w:rsidRDefault="00B35CF5" w:rsidP="00B35CF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          12.057,54 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A7F9" w14:textId="77777777" w:rsidR="00B35CF5" w:rsidRPr="00E543F7" w:rsidRDefault="00B35CF5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Applicazione parte vincolata Osservatorio legislativo interregionale</w:t>
            </w:r>
          </w:p>
        </w:tc>
      </w:tr>
      <w:tr w:rsidR="00EA0E8C" w:rsidRPr="00E543F7" w14:paraId="229B2EA4" w14:textId="77777777" w:rsidTr="00EA0E8C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F2682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0CF6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1B00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Tutela e </w:t>
            </w:r>
            <w:r w:rsidRPr="00E543F7">
              <w:rPr>
                <w:rFonts w:asciiTheme="minorHAnsi" w:hAnsiTheme="minorHAnsi" w:cstheme="minorHAnsi"/>
              </w:rPr>
              <w:lastRenderedPageBreak/>
              <w:t>valorizzazione dei beni e delle attività culturali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9C79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lastRenderedPageBreak/>
              <w:t>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C71F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Attività culturali e interventi </w:t>
            </w:r>
            <w:r w:rsidRPr="00E543F7">
              <w:rPr>
                <w:rFonts w:asciiTheme="minorHAnsi" w:hAnsiTheme="minorHAnsi" w:cstheme="minorHAnsi"/>
              </w:rPr>
              <w:lastRenderedPageBreak/>
              <w:t>diversi nel settore culturale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98CC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E37" w14:textId="77777777" w:rsidR="00B35CF5" w:rsidRPr="00E543F7" w:rsidRDefault="00B35CF5" w:rsidP="000869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413C" w14:textId="77777777" w:rsidR="00B35CF5" w:rsidRPr="00E543F7" w:rsidRDefault="00B35CF5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58B0" w14:textId="77777777" w:rsidR="00E543F7" w:rsidRPr="00E543F7" w:rsidRDefault="005D3871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Applicazione parte vincolata </w:t>
            </w:r>
          </w:p>
          <w:p w14:paraId="17293321" w14:textId="77777777" w:rsidR="00B35CF5" w:rsidRPr="00E543F7" w:rsidRDefault="005D3871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Cobire</w:t>
            </w:r>
          </w:p>
        </w:tc>
      </w:tr>
      <w:tr w:rsidR="00EA0E8C" w:rsidRPr="00E543F7" w14:paraId="5997A468" w14:textId="77777777" w:rsidTr="00EA0E8C">
        <w:trPr>
          <w:trHeight w:val="500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FF27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5024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27CE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 xml:space="preserve"> Soccorso civile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E28E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1775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Interventi a seguito di calamità naturali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D45A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3A04" w14:textId="77777777" w:rsidR="00B35CF5" w:rsidRPr="00E543F7" w:rsidRDefault="00B35CF5" w:rsidP="000869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8392" w14:textId="77777777" w:rsidR="00B35CF5" w:rsidRPr="00E543F7" w:rsidRDefault="00B35CF5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="005D3871"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10.965,00</w:t>
            </w: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445148" w14:textId="77777777" w:rsidR="00B35CF5" w:rsidRPr="00E543F7" w:rsidRDefault="00B35CF5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F772" w14:textId="77777777" w:rsidR="00B35CF5" w:rsidRPr="00E543F7" w:rsidRDefault="005D3871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</w:rPr>
              <w:t>Altri vincoli fondo oneri ex art. 27-ter legge R.T. n. 3/2009 emergenze ambientali</w:t>
            </w:r>
          </w:p>
        </w:tc>
      </w:tr>
      <w:tr w:rsidR="00EA0E8C" w:rsidRPr="00E543F7" w14:paraId="3029AB27" w14:textId="77777777" w:rsidTr="00EA0E8C">
        <w:trPr>
          <w:trHeight w:val="288"/>
          <w:jc w:val="center"/>
        </w:trPr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1B60" w14:textId="77777777" w:rsidR="00B35CF5" w:rsidRPr="00E543F7" w:rsidRDefault="00B35CF5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F370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E70D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Diritti sociali, politiche sociali e famiglia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D5FC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EC8D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Politica regionale unitaria per i diritti sociali e la famiglia (solo per le Regioni)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CC6A" w14:textId="77777777" w:rsidR="00B35CF5" w:rsidRPr="00E543F7" w:rsidRDefault="00B35CF5" w:rsidP="000869AF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EDA1" w14:textId="77777777" w:rsidR="00B35CF5" w:rsidRPr="00E543F7" w:rsidRDefault="00B35CF5" w:rsidP="000869AF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FB46" w14:textId="77777777" w:rsidR="00B35CF5" w:rsidRPr="00E543F7" w:rsidRDefault="00B35CF5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5D3871" w:rsidRPr="00E543F7">
              <w:rPr>
                <w:rFonts w:asciiTheme="minorHAnsi" w:hAnsiTheme="minorHAnsi" w:cstheme="minorHAnsi"/>
                <w:sz w:val="20"/>
                <w:szCs w:val="20"/>
              </w:rPr>
              <w:t>12.357,39</w:t>
            </w: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7698B4" w14:textId="77777777" w:rsidR="00B35CF5" w:rsidRPr="00E543F7" w:rsidRDefault="00B35CF5" w:rsidP="004673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F6EC" w14:textId="77777777" w:rsidR="00B35CF5" w:rsidRPr="00E543F7" w:rsidRDefault="005D3871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</w:rPr>
              <w:t>Altri vincoli fondo oneri ex art. 27-ter legge R.T. n. 3/2009 emergenze sociali</w:t>
            </w:r>
          </w:p>
        </w:tc>
      </w:tr>
      <w:tr w:rsidR="00EA0E8C" w:rsidRPr="00E543F7" w14:paraId="771118F3" w14:textId="77777777" w:rsidTr="00EA0E8C">
        <w:trPr>
          <w:trHeight w:val="288"/>
          <w:jc w:val="center"/>
        </w:trPr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7D4E7" w14:textId="77777777" w:rsidR="005D3871" w:rsidRPr="00E543F7" w:rsidRDefault="005D3871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84AC" w14:textId="77777777" w:rsidR="005D3871" w:rsidRPr="00E543F7" w:rsidRDefault="005D3871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A3C3" w14:textId="77777777" w:rsidR="005D3871" w:rsidRPr="00E543F7" w:rsidRDefault="005D3871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Diritti sociali, politiche sociali e famiglia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2B2E" w14:textId="77777777" w:rsidR="005D3871" w:rsidRPr="00E543F7" w:rsidRDefault="005D3871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E84" w14:textId="77777777" w:rsidR="005D3871" w:rsidRPr="00E543F7" w:rsidRDefault="005D3871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Politica regionale unitaria per i diritti sociali e la famiglia (solo per le Regioni)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82FE" w14:textId="77777777" w:rsidR="005D3871" w:rsidRPr="00E543F7" w:rsidRDefault="005D3871" w:rsidP="00D531A5">
            <w:pPr>
              <w:jc w:val="center"/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199F" w14:textId="77777777" w:rsidR="005D3871" w:rsidRPr="00E543F7" w:rsidRDefault="005D3871" w:rsidP="00D531A5">
            <w:pPr>
              <w:rPr>
                <w:rFonts w:asciiTheme="minorHAnsi" w:hAnsiTheme="minorHAnsi" w:cstheme="minorHAnsi"/>
              </w:rPr>
            </w:pPr>
            <w:r w:rsidRPr="00E543F7">
              <w:rPr>
                <w:rFonts w:asciiTheme="minorHAnsi" w:hAnsiTheme="minorHAnsi" w:cstheme="minorHAnsi"/>
              </w:rPr>
              <w:t>Spese correnti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D050" w14:textId="77777777" w:rsidR="005D3871" w:rsidRPr="00E543F7" w:rsidRDefault="005D3871" w:rsidP="00D531A5">
            <w:pPr>
              <w:jc w:val="righ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E543F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75.368,16 </w:t>
            </w:r>
          </w:p>
          <w:p w14:paraId="05FC67F4" w14:textId="77777777" w:rsidR="005D3871" w:rsidRPr="00E543F7" w:rsidRDefault="005D3871" w:rsidP="00D531A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ADB7" w14:textId="78B69EFA" w:rsidR="005D3871" w:rsidRPr="00EE62CF" w:rsidRDefault="005D3871" w:rsidP="00EE62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 xml:space="preserve">Applicazione parte vincolata legge regionale 4 agosto 2020, n. 77 “Disposizioni urgenti in materia di rimborsi per l’esercizio del mandato dei consiglieri regionali durante il periodo di emergenza epidemiologica causata da </w:t>
            </w:r>
            <w:r w:rsidR="00EE62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43F7">
              <w:rPr>
                <w:rFonts w:asciiTheme="minorHAnsi" w:hAnsiTheme="minorHAnsi" w:cstheme="minorHAnsi"/>
                <w:sz w:val="20"/>
                <w:szCs w:val="20"/>
              </w:rPr>
              <w:t>COVID-19”.</w:t>
            </w:r>
          </w:p>
        </w:tc>
      </w:tr>
      <w:tr w:rsidR="003370D1" w:rsidRPr="00E543F7" w14:paraId="77FB1A55" w14:textId="77777777" w:rsidTr="003370D1">
        <w:trPr>
          <w:trHeight w:val="288"/>
          <w:jc w:val="center"/>
        </w:trPr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70974" w14:textId="77777777" w:rsidR="003370D1" w:rsidRPr="00E543F7" w:rsidRDefault="003370D1" w:rsidP="002B2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85A0" w14:textId="77777777" w:rsidR="003370D1" w:rsidRPr="00E543F7" w:rsidRDefault="003370D1" w:rsidP="00D531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26D7" w14:textId="77777777" w:rsidR="003370D1" w:rsidRPr="00E543F7" w:rsidRDefault="003370D1" w:rsidP="00D53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C62C" w14:textId="77777777" w:rsidR="003370D1" w:rsidRPr="00E543F7" w:rsidRDefault="003370D1" w:rsidP="00D531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4513" w14:textId="77777777" w:rsidR="003370D1" w:rsidRPr="00E543F7" w:rsidRDefault="003370D1" w:rsidP="003370D1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E543F7">
              <w:rPr>
                <w:rFonts w:asciiTheme="minorHAnsi" w:hAnsiTheme="minorHAnsi" w:cstheme="minorHAnsi"/>
                <w:i/>
              </w:rPr>
              <w:t>Totale programma 10 titolo 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C17D" w14:textId="77777777" w:rsidR="003370D1" w:rsidRPr="00E543F7" w:rsidRDefault="003370D1" w:rsidP="00D531A5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543F7">
              <w:rPr>
                <w:rFonts w:asciiTheme="minorHAnsi" w:hAnsiTheme="minorHAnsi" w:cstheme="minorHAnsi"/>
                <w:i/>
                <w:sz w:val="20"/>
                <w:szCs w:val="20"/>
              </w:rPr>
              <w:t>87.725,55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E594" w14:textId="77777777" w:rsidR="003370D1" w:rsidRPr="00E543F7" w:rsidRDefault="003370D1" w:rsidP="005364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0E8C" w:rsidRPr="00E543F7" w14:paraId="77CFB4D1" w14:textId="77777777" w:rsidTr="003370D1">
        <w:trPr>
          <w:trHeight w:val="288"/>
          <w:jc w:val="center"/>
        </w:trPr>
        <w:tc>
          <w:tcPr>
            <w:tcW w:w="35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2E183A" w14:textId="77777777" w:rsidR="005D3871" w:rsidRPr="00E543F7" w:rsidRDefault="003370D1" w:rsidP="002B26F9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Totale parziale  </w:t>
            </w:r>
            <w:r w:rsidR="005D3871"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451E5" w14:textId="77777777" w:rsidR="005D3871" w:rsidRPr="00E543F7" w:rsidRDefault="003370D1" w:rsidP="005D3871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=SUM(ABOVE) </w:instrText>
            </w: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Pr="00E543F7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t>338.829,08</w:t>
            </w: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5D3871"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A69C87" w14:textId="77777777" w:rsidR="005D3871" w:rsidRPr="00E543F7" w:rsidRDefault="005D3871" w:rsidP="005364A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EA0E8C" w:rsidRPr="00E543F7" w14:paraId="7B36FF50" w14:textId="77777777" w:rsidTr="00EA0E8C">
        <w:trPr>
          <w:trHeight w:val="288"/>
          <w:jc w:val="center"/>
        </w:trPr>
        <w:tc>
          <w:tcPr>
            <w:tcW w:w="39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8A498" w14:textId="77777777" w:rsidR="005D3871" w:rsidRPr="00E543F7" w:rsidRDefault="005D3871" w:rsidP="004673E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F3FFF" w14:textId="77777777" w:rsidR="005D3871" w:rsidRPr="00E543F7" w:rsidRDefault="005D3871" w:rsidP="005364A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EA0E8C" w:rsidRPr="00E543F7" w14:paraId="07AC179B" w14:textId="77777777" w:rsidTr="003370D1">
        <w:trPr>
          <w:trHeight w:val="288"/>
          <w:jc w:val="center"/>
        </w:trPr>
        <w:tc>
          <w:tcPr>
            <w:tcW w:w="35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ED8C90" w14:textId="77777777" w:rsidR="005D3871" w:rsidRPr="00E543F7" w:rsidRDefault="005D3871" w:rsidP="008D5D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543F7">
              <w:rPr>
                <w:rFonts w:asciiTheme="minorHAnsi" w:hAnsiTheme="minorHAnsi" w:cstheme="minorHAnsi"/>
                <w:b/>
                <w:bCs/>
              </w:rPr>
              <w:t>Totale complessivo</w:t>
            </w:r>
            <w:r w:rsidR="008D5D8C" w:rsidRPr="00E543F7">
              <w:rPr>
                <w:rFonts w:asciiTheme="minorHAnsi" w:hAnsiTheme="minorHAnsi" w:cstheme="minorHAnsi"/>
                <w:b/>
                <w:bCs/>
              </w:rPr>
              <w:t xml:space="preserve">  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362463" w14:textId="77777777" w:rsidR="005D3871" w:rsidRPr="00E543F7" w:rsidRDefault="008D5D8C" w:rsidP="005D387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543F7">
              <w:rPr>
                <w:rFonts w:asciiTheme="minorHAnsi" w:hAnsiTheme="minorHAnsi" w:cstheme="minorHAnsi"/>
                <w:b/>
                <w:bCs/>
              </w:rPr>
              <w:t>4.787.285,48</w:t>
            </w:r>
            <w:r w:rsidR="005D3871" w:rsidRPr="00E543F7">
              <w:rPr>
                <w:rFonts w:asciiTheme="minorHAnsi" w:hAnsiTheme="minorHAnsi" w:cstheme="minorHAnsi"/>
                <w:b/>
              </w:rPr>
              <w:t xml:space="preserve"> </w:t>
            </w:r>
            <w:r w:rsidR="005D3871" w:rsidRPr="00E543F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1ECD06" w14:textId="77777777" w:rsidR="005D3871" w:rsidRPr="00E543F7" w:rsidRDefault="003370D1" w:rsidP="005364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43F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</w:tbl>
    <w:p w14:paraId="7012402A" w14:textId="333B3612" w:rsidR="002B26F9" w:rsidRDefault="00EE62CF">
      <w:r>
        <w:t xml:space="preserve"> </w:t>
      </w:r>
    </w:p>
    <w:sectPr w:rsidR="002B26F9" w:rsidSect="00725AAD">
      <w:footerReference w:type="default" r:id="rId6"/>
      <w:pgSz w:w="16838" w:h="11906" w:orient="landscape"/>
      <w:pgMar w:top="426" w:right="1134" w:bottom="284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AF97B" w14:textId="77777777" w:rsidR="005528E4" w:rsidRDefault="005528E4" w:rsidP="00725AAD">
      <w:r>
        <w:separator/>
      </w:r>
    </w:p>
  </w:endnote>
  <w:endnote w:type="continuationSeparator" w:id="0">
    <w:p w14:paraId="052EA83E" w14:textId="77777777" w:rsidR="005528E4" w:rsidRDefault="005528E4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5447965"/>
      <w:docPartObj>
        <w:docPartGallery w:val="Page Numbers (Bottom of Page)"/>
        <w:docPartUnique/>
      </w:docPartObj>
    </w:sdtPr>
    <w:sdtEndPr/>
    <w:sdtContent>
      <w:p w14:paraId="11DDDA5F" w14:textId="77777777" w:rsidR="00725AAD" w:rsidRDefault="00FE1515">
        <w:pPr>
          <w:pStyle w:val="Pidipagina"/>
          <w:jc w:val="center"/>
        </w:pPr>
        <w:r>
          <w:t xml:space="preserve"> </w:t>
        </w:r>
      </w:p>
    </w:sdtContent>
  </w:sdt>
  <w:p w14:paraId="070F3865" w14:textId="77777777"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8658" w14:textId="77777777" w:rsidR="005528E4" w:rsidRDefault="005528E4" w:rsidP="00725AAD">
      <w:r>
        <w:separator/>
      </w:r>
    </w:p>
  </w:footnote>
  <w:footnote w:type="continuationSeparator" w:id="0">
    <w:p w14:paraId="44304440" w14:textId="77777777" w:rsidR="005528E4" w:rsidRDefault="005528E4" w:rsidP="0072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F9"/>
    <w:rsid w:val="00004462"/>
    <w:rsid w:val="00045E8B"/>
    <w:rsid w:val="000D06C7"/>
    <w:rsid w:val="0017769C"/>
    <w:rsid w:val="00193993"/>
    <w:rsid w:val="00197B4D"/>
    <w:rsid w:val="001D2CDA"/>
    <w:rsid w:val="002741CF"/>
    <w:rsid w:val="002A38BF"/>
    <w:rsid w:val="002A5B1A"/>
    <w:rsid w:val="002B26F9"/>
    <w:rsid w:val="00335DD3"/>
    <w:rsid w:val="003370D1"/>
    <w:rsid w:val="00346DAC"/>
    <w:rsid w:val="003501B3"/>
    <w:rsid w:val="003948C7"/>
    <w:rsid w:val="003A2844"/>
    <w:rsid w:val="003A716C"/>
    <w:rsid w:val="004673E8"/>
    <w:rsid w:val="004A58B2"/>
    <w:rsid w:val="004B6EFB"/>
    <w:rsid w:val="005364A8"/>
    <w:rsid w:val="005528E4"/>
    <w:rsid w:val="0055350E"/>
    <w:rsid w:val="005D3871"/>
    <w:rsid w:val="005F12DA"/>
    <w:rsid w:val="006C7A7A"/>
    <w:rsid w:val="00725AAD"/>
    <w:rsid w:val="00753956"/>
    <w:rsid w:val="007600E0"/>
    <w:rsid w:val="007D4C57"/>
    <w:rsid w:val="008A35D7"/>
    <w:rsid w:val="008D5D8C"/>
    <w:rsid w:val="008E2D37"/>
    <w:rsid w:val="00905FFA"/>
    <w:rsid w:val="00934900"/>
    <w:rsid w:val="00963178"/>
    <w:rsid w:val="009A38B0"/>
    <w:rsid w:val="009C657D"/>
    <w:rsid w:val="009D4C53"/>
    <w:rsid w:val="00A0660C"/>
    <w:rsid w:val="00A159B4"/>
    <w:rsid w:val="00A437E4"/>
    <w:rsid w:val="00AB0A0A"/>
    <w:rsid w:val="00B075BA"/>
    <w:rsid w:val="00B35CF5"/>
    <w:rsid w:val="00B406CD"/>
    <w:rsid w:val="00B62E09"/>
    <w:rsid w:val="00B64F08"/>
    <w:rsid w:val="00B91969"/>
    <w:rsid w:val="00BE03FB"/>
    <w:rsid w:val="00C60051"/>
    <w:rsid w:val="00D13BFA"/>
    <w:rsid w:val="00D53546"/>
    <w:rsid w:val="00D72A15"/>
    <w:rsid w:val="00D77708"/>
    <w:rsid w:val="00D809FD"/>
    <w:rsid w:val="00DA573C"/>
    <w:rsid w:val="00DC6CF9"/>
    <w:rsid w:val="00DE2B22"/>
    <w:rsid w:val="00E543F7"/>
    <w:rsid w:val="00E572CD"/>
    <w:rsid w:val="00EA0E8C"/>
    <w:rsid w:val="00EE62CF"/>
    <w:rsid w:val="00EE74CB"/>
    <w:rsid w:val="00EF012D"/>
    <w:rsid w:val="00F5431A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6494"/>
  <w15:docId w15:val="{F84D1EF2-1055-476A-A4FF-DF4511F8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 Leonardo</cp:lastModifiedBy>
  <cp:revision>55</cp:revision>
  <dcterms:created xsi:type="dcterms:W3CDTF">2017-01-31T08:19:00Z</dcterms:created>
  <dcterms:modified xsi:type="dcterms:W3CDTF">2021-01-04T08:37:00Z</dcterms:modified>
</cp:coreProperties>
</file>