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 xml:space="preserve">Relazione illustrativa </w:t>
      </w:r>
      <w:r w:rsidRPr="008D049F">
        <w:rPr>
          <w:b/>
        </w:rPr>
        <w:t>alla</w:t>
      </w:r>
      <w:r w:rsidR="002C0213" w:rsidRPr="008D049F">
        <w:rPr>
          <w:b/>
        </w:rPr>
        <w:t xml:space="preserve"> </w:t>
      </w:r>
      <w:r w:rsidR="002D790C" w:rsidRPr="008D049F">
        <w:rPr>
          <w:b/>
          <w:u w:val="single"/>
        </w:rPr>
        <w:t>decima</w:t>
      </w:r>
      <w:r w:rsidR="00F77D3F" w:rsidRPr="008D049F">
        <w:rPr>
          <w:b/>
          <w:u w:val="single"/>
        </w:rPr>
        <w:t xml:space="preserve"> </w:t>
      </w:r>
      <w:r w:rsidR="001950E3" w:rsidRPr="008D049F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2D790C" w:rsidRDefault="00665011" w:rsidP="007764F4">
      <w:r w:rsidRPr="00D554DA">
        <w:rPr>
          <w:sz w:val="36"/>
        </w:rPr>
        <w:t xml:space="preserve"> </w:t>
      </w:r>
    </w:p>
    <w:p w:rsidR="007764F4" w:rsidRDefault="007764F4" w:rsidP="00E7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</w:t>
      </w:r>
      <w:r>
        <w:rPr>
          <w:b/>
        </w:rPr>
        <w:t xml:space="preserve">SPESA - ENTRATA </w:t>
      </w:r>
      <w:r w:rsidR="006D5FE4">
        <w:rPr>
          <w:b/>
        </w:rPr>
        <w:t xml:space="preserve"> </w:t>
      </w:r>
      <w:r w:rsidRPr="00ED023A">
        <w:t xml:space="preserve">VARIAZIONI </w:t>
      </w:r>
      <w:r w:rsidR="00E76149">
        <w:t xml:space="preserve">CONSEGUENTE ALLA DELIBERA DEL CONSIGLIO </w:t>
      </w:r>
      <w:r w:rsidR="00940A8C">
        <w:t>APPROVATA NELLA SEDUTA DEL 9 OTTOBRE 2019</w:t>
      </w:r>
    </w:p>
    <w:p w:rsidR="00E76149" w:rsidRPr="00E76149" w:rsidRDefault="00E76149" w:rsidP="00E7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11D93">
        <w:rPr>
          <w:b/>
        </w:rPr>
        <w:t xml:space="preserve">(Art. 51 </w:t>
      </w:r>
      <w:proofErr w:type="spellStart"/>
      <w:r w:rsidRPr="00511D93">
        <w:rPr>
          <w:b/>
        </w:rPr>
        <w:t>d.lgs</w:t>
      </w:r>
      <w:proofErr w:type="spellEnd"/>
      <w:r w:rsidRPr="00511D93">
        <w:rPr>
          <w:b/>
        </w:rPr>
        <w:t xml:space="preserve"> 118/2011</w:t>
      </w:r>
      <w:r w:rsidR="00F62B2B">
        <w:rPr>
          <w:b/>
        </w:rPr>
        <w:t xml:space="preserve"> e 14 del RIAC</w:t>
      </w:r>
      <w:r w:rsidRPr="00511D93">
        <w:rPr>
          <w:b/>
        </w:rPr>
        <w:t>)</w:t>
      </w:r>
    </w:p>
    <w:p w:rsidR="0030570B" w:rsidRPr="009623C3" w:rsidRDefault="0048481E" w:rsidP="009623C3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C8501E" w:rsidRPr="006A017A" w:rsidRDefault="00C8501E" w:rsidP="00C8501E">
      <w:pPr>
        <w:rPr>
          <w:b/>
        </w:rPr>
      </w:pPr>
      <w:r w:rsidRPr="00FE0F08">
        <w:rPr>
          <w:b/>
        </w:rPr>
        <w:t>ENTRATA CORRENTE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979"/>
        <w:gridCol w:w="1016"/>
        <w:gridCol w:w="1091"/>
        <w:gridCol w:w="2265"/>
        <w:gridCol w:w="1328"/>
        <w:gridCol w:w="1149"/>
        <w:gridCol w:w="1149"/>
        <w:gridCol w:w="842"/>
        <w:gridCol w:w="5427"/>
      </w:tblGrid>
      <w:tr w:rsidR="00E76149" w:rsidRPr="00CF15D2" w:rsidTr="00F62B2B">
        <w:trPr>
          <w:trHeight w:val="945"/>
          <w:tblHeader/>
          <w:jc w:val="center"/>
        </w:trPr>
        <w:tc>
          <w:tcPr>
            <w:tcW w:w="210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CF15D2" w:rsidRDefault="00E76149" w:rsidP="001523E9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08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CF15D2" w:rsidRDefault="00E76149" w:rsidP="001523E9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319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CF15D2" w:rsidRDefault="00E76149" w:rsidP="001523E9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:rsidR="00E76149" w:rsidRPr="00D83D07" w:rsidRDefault="00E76149" w:rsidP="00E76149">
            <w:pPr>
              <w:jc w:val="center"/>
              <w:rPr>
                <w:b/>
              </w:rPr>
            </w:pPr>
            <w:r w:rsidRPr="00D83D07">
              <w:rPr>
                <w:b/>
              </w:rPr>
              <w:t>capitolo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:rsidR="00E76149" w:rsidRPr="00CF15D2" w:rsidRDefault="00E76149" w:rsidP="002477D3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  <w:hideMark/>
          </w:tcPr>
          <w:p w:rsidR="00E76149" w:rsidRPr="00CF15D2" w:rsidRDefault="00E76149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E76149" w:rsidRDefault="00E76149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E76149" w:rsidRPr="00CF15D2" w:rsidRDefault="00E76149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  <w:hideMark/>
          </w:tcPr>
          <w:p w:rsidR="00E76149" w:rsidRPr="00CF15D2" w:rsidRDefault="00E76149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  <w:hideMark/>
          </w:tcPr>
          <w:p w:rsidR="00E76149" w:rsidRPr="00CF15D2" w:rsidRDefault="00E76149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264" w:type="pct"/>
            <w:shd w:val="clear" w:color="auto" w:fill="D9D9D9" w:themeFill="background1" w:themeFillShade="D9"/>
            <w:vAlign w:val="center"/>
          </w:tcPr>
          <w:p w:rsidR="00E76149" w:rsidRPr="00CF15D2" w:rsidRDefault="00E76149" w:rsidP="001523E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 xml:space="preserve"> Settore</w:t>
            </w:r>
          </w:p>
        </w:tc>
        <w:tc>
          <w:tcPr>
            <w:tcW w:w="1705" w:type="pct"/>
            <w:shd w:val="clear" w:color="auto" w:fill="D9D9D9" w:themeFill="background1" w:themeFillShade="D9"/>
            <w:vAlign w:val="center"/>
          </w:tcPr>
          <w:p w:rsidR="00E76149" w:rsidRPr="00CF15D2" w:rsidRDefault="00E76149" w:rsidP="001523E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E76149" w:rsidRPr="00CF15D2" w:rsidTr="00F62B2B">
        <w:trPr>
          <w:trHeight w:val="962"/>
          <w:jc w:val="center"/>
        </w:trPr>
        <w:tc>
          <w:tcPr>
            <w:tcW w:w="210" w:type="pct"/>
            <w:shd w:val="clear" w:color="000000" w:fill="FFFFFF"/>
            <w:noWrap/>
            <w:vAlign w:val="center"/>
          </w:tcPr>
          <w:p w:rsidR="00E76149" w:rsidRPr="00CF15D2" w:rsidRDefault="00E76149" w:rsidP="001523E9">
            <w:pPr>
              <w:jc w:val="center"/>
            </w:pPr>
            <w: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:rsidR="00E76149" w:rsidRPr="00CF15D2" w:rsidRDefault="00E76149" w:rsidP="001523E9">
            <w:pPr>
              <w:jc w:val="center"/>
            </w:pPr>
            <w:r>
              <w:t>101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76149" w:rsidRPr="00CF15D2" w:rsidRDefault="00E76149" w:rsidP="001523E9">
            <w:pPr>
              <w:jc w:val="center"/>
            </w:pPr>
            <w:r>
              <w:t>4</w:t>
            </w:r>
          </w:p>
        </w:tc>
        <w:tc>
          <w:tcPr>
            <w:tcW w:w="343" w:type="pct"/>
            <w:shd w:val="clear" w:color="000000" w:fill="FFFFFF"/>
            <w:vAlign w:val="center"/>
          </w:tcPr>
          <w:p w:rsidR="00E76149" w:rsidRPr="00D83D07" w:rsidRDefault="00E76149" w:rsidP="00E76149">
            <w:pPr>
              <w:jc w:val="center"/>
            </w:pPr>
            <w:r w:rsidRPr="00D83D07">
              <w:t>2005</w:t>
            </w:r>
          </w:p>
        </w:tc>
        <w:tc>
          <w:tcPr>
            <w:tcW w:w="712" w:type="pct"/>
            <w:shd w:val="clear" w:color="000000" w:fill="FFFFFF"/>
            <w:vAlign w:val="center"/>
          </w:tcPr>
          <w:p w:rsidR="00E76149" w:rsidRDefault="00D760E3" w:rsidP="00E76149">
            <w:pPr>
              <w:jc w:val="center"/>
            </w:pPr>
            <w:r>
              <w:t>Trasferimenti da bilancio regionale - corrente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E76149" w:rsidRPr="00CF15D2" w:rsidRDefault="00E76149" w:rsidP="001523E9">
            <w:pPr>
              <w:jc w:val="center"/>
            </w:pPr>
            <w:r>
              <w:t>420.000,00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:rsidR="00E76149" w:rsidRPr="00CF15D2" w:rsidRDefault="00E76149" w:rsidP="001523E9">
            <w:pPr>
              <w:jc w:val="center"/>
            </w:pPr>
            <w:r>
              <w:t>738.000,00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E76149" w:rsidRPr="00CF15D2" w:rsidRDefault="00E76149" w:rsidP="001523E9">
            <w:pPr>
              <w:jc w:val="center"/>
            </w:pPr>
            <w:r>
              <w:t>757.000,00</w:t>
            </w:r>
          </w:p>
        </w:tc>
        <w:tc>
          <w:tcPr>
            <w:tcW w:w="264" w:type="pct"/>
            <w:vAlign w:val="center"/>
          </w:tcPr>
          <w:p w:rsidR="00E76149" w:rsidRPr="003E3254" w:rsidRDefault="00E76149" w:rsidP="001523E9">
            <w:pPr>
              <w:jc w:val="center"/>
            </w:pPr>
            <w:r>
              <w:t>Bilancio e finanze</w:t>
            </w:r>
            <w:hyperlink r:id="rId10" w:history="1"/>
          </w:p>
        </w:tc>
        <w:tc>
          <w:tcPr>
            <w:tcW w:w="1705" w:type="pct"/>
            <w:vAlign w:val="center"/>
          </w:tcPr>
          <w:p w:rsidR="00E76149" w:rsidRPr="00CF15D2" w:rsidRDefault="00E76149" w:rsidP="009623C3">
            <w:pPr>
              <w:autoSpaceDE w:val="0"/>
              <w:autoSpaceDN w:val="0"/>
              <w:adjustRightInd w:val="0"/>
              <w:jc w:val="both"/>
            </w:pPr>
            <w:r>
              <w:t xml:space="preserve">  La maggiore entrata è </w:t>
            </w:r>
            <w:r w:rsidRPr="00B02770">
              <w:t>relativa al trasferimento fondi dal Bilancio regionale per attività di competenza del Consiglio regionale a copertura del</w:t>
            </w:r>
            <w:r>
              <w:t>la</w:t>
            </w:r>
            <w:r w:rsidRPr="00B02770">
              <w:t xml:space="preserve"> spesa</w:t>
            </w:r>
            <w:r>
              <w:t xml:space="preserve"> corrente di cui alla legge l.r. 31 maggio 2019 n. 27  “</w:t>
            </w:r>
            <w:r w:rsidRPr="009623C3">
              <w:rPr>
                <w:i/>
              </w:rPr>
              <w:t>Rideterminazione dei vitalizi regionali in attuazione della legge n. 145/20018</w:t>
            </w:r>
            <w:r>
              <w:t>” e della delibera di Giunta regionale n. 754 del 2019 e alla lettera a firma del Segretario generale del 19 luglio 2019 (</w:t>
            </w:r>
            <w:proofErr w:type="spellStart"/>
            <w:r>
              <w:t>prot</w:t>
            </w:r>
            <w:proofErr w:type="spellEnd"/>
            <w:r>
              <w:t>. 11061/5.2).</w:t>
            </w:r>
          </w:p>
        </w:tc>
      </w:tr>
      <w:tr w:rsidR="00F62B2B" w:rsidRPr="00CF15D2" w:rsidTr="00F62B2B">
        <w:trPr>
          <w:trHeight w:val="477"/>
          <w:jc w:val="center"/>
        </w:trPr>
        <w:tc>
          <w:tcPr>
            <w:tcW w:w="210" w:type="pct"/>
            <w:shd w:val="clear" w:color="000000" w:fill="FFFFFF"/>
            <w:noWrap/>
            <w:vAlign w:val="center"/>
          </w:tcPr>
          <w:p w:rsidR="00F62B2B" w:rsidRPr="00F62B2B" w:rsidRDefault="00F62B2B" w:rsidP="001523E9">
            <w:pPr>
              <w:jc w:val="center"/>
              <w:rPr>
                <w:i/>
              </w:rPr>
            </w:pPr>
            <w:r w:rsidRPr="00F62B2B">
              <w:rPr>
                <w:i/>
              </w:rPr>
              <w:t>3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:rsidR="00F62B2B" w:rsidRPr="00F62B2B" w:rsidRDefault="00F62B2B" w:rsidP="001523E9">
            <w:pPr>
              <w:jc w:val="center"/>
              <w:rPr>
                <w:i/>
              </w:rPr>
            </w:pPr>
            <w:r w:rsidRPr="00F62B2B">
              <w:rPr>
                <w:i/>
              </w:rPr>
              <w:t>5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F62B2B" w:rsidRPr="00F62B2B" w:rsidRDefault="00F62B2B" w:rsidP="00E76937">
            <w:pPr>
              <w:jc w:val="center"/>
              <w:rPr>
                <w:i/>
              </w:rPr>
            </w:pPr>
            <w:r w:rsidRPr="00F62B2B">
              <w:rPr>
                <w:i/>
              </w:rPr>
              <w:t>99</w:t>
            </w:r>
          </w:p>
        </w:tc>
        <w:tc>
          <w:tcPr>
            <w:tcW w:w="343" w:type="pct"/>
            <w:shd w:val="clear" w:color="000000" w:fill="FFFFFF"/>
            <w:vAlign w:val="center"/>
          </w:tcPr>
          <w:p w:rsidR="00F62B2B" w:rsidRPr="00D83D07" w:rsidRDefault="00F62B2B" w:rsidP="00E76149">
            <w:pPr>
              <w:jc w:val="center"/>
              <w:rPr>
                <w:i/>
              </w:rPr>
            </w:pPr>
            <w:r w:rsidRPr="00D83D07">
              <w:rPr>
                <w:i/>
              </w:rPr>
              <w:t>3056</w:t>
            </w:r>
          </w:p>
        </w:tc>
        <w:tc>
          <w:tcPr>
            <w:tcW w:w="712" w:type="pct"/>
            <w:shd w:val="clear" w:color="000000" w:fill="FFFFFF"/>
            <w:vAlign w:val="center"/>
          </w:tcPr>
          <w:p w:rsidR="00F62B2B" w:rsidRPr="00743946" w:rsidRDefault="00F62B2B" w:rsidP="00E76149">
            <w:pPr>
              <w:jc w:val="center"/>
              <w:rPr>
                <w:b/>
                <w:i/>
              </w:rPr>
            </w:pPr>
            <w:r>
              <w:rPr>
                <w:rFonts w:eastAsia="Times New Roman"/>
                <w:sz w:val="24"/>
                <w:szCs w:val="36"/>
              </w:rPr>
              <w:t>E</w:t>
            </w:r>
            <w:r w:rsidRPr="0011313F">
              <w:rPr>
                <w:rFonts w:eastAsia="Times New Roman"/>
                <w:sz w:val="24"/>
                <w:szCs w:val="36"/>
              </w:rPr>
              <w:t>ntrate per restituzione avanzo gruppi consiliari , altri rimborsi e restituzione somme afferenti al settore bilancio e finanze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F62B2B" w:rsidRPr="002477D3" w:rsidRDefault="00F62B2B" w:rsidP="00806126">
            <w:pPr>
              <w:jc w:val="center"/>
            </w:pPr>
            <w:r w:rsidRPr="002477D3">
              <w:t>833,34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:rsidR="00F62B2B" w:rsidRPr="00743946" w:rsidRDefault="00F62B2B" w:rsidP="008061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--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F62B2B" w:rsidRPr="00743946" w:rsidRDefault="00F62B2B" w:rsidP="008061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--</w:t>
            </w:r>
          </w:p>
        </w:tc>
        <w:tc>
          <w:tcPr>
            <w:tcW w:w="264" w:type="pct"/>
            <w:vAlign w:val="center"/>
          </w:tcPr>
          <w:p w:rsidR="00F62B2B" w:rsidRDefault="00F62B2B" w:rsidP="001523E9">
            <w:pPr>
              <w:jc w:val="center"/>
            </w:pPr>
            <w:r>
              <w:t>Bilancio e finanze</w:t>
            </w:r>
          </w:p>
        </w:tc>
        <w:tc>
          <w:tcPr>
            <w:tcW w:w="1705" w:type="pct"/>
            <w:vAlign w:val="center"/>
          </w:tcPr>
          <w:p w:rsidR="00F62B2B" w:rsidRPr="00B02770" w:rsidRDefault="00F62B2B" w:rsidP="002477D3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A seguito dell’uscita del Gruppo consiliare Lega nord del Consigliere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Salvini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con decorrenza 1 ottobre 2019 è necessario conguagliare i contributi già erogati con decreto dirigenziale 552 del 8 luglio 2019. Tale operazione di conguaglio determina un incremento dell’entrata   conseguente alla  restituzione della somma di euro 833,34 da parte del Gruppo Lega Nord ed un contestuale incremento  della spesa</w:t>
            </w:r>
            <w:r w:rsidR="002477D3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="002477D3">
              <w:rPr>
                <w:rFonts w:eastAsia="Times New Roman"/>
                <w:sz w:val="24"/>
                <w:szCs w:val="24"/>
              </w:rPr>
              <w:t>cap</w:t>
            </w:r>
            <w:proofErr w:type="spellEnd"/>
            <w:r w:rsidR="002477D3">
              <w:rPr>
                <w:rFonts w:eastAsia="Times New Roman"/>
                <w:sz w:val="24"/>
                <w:szCs w:val="24"/>
              </w:rPr>
              <w:t xml:space="preserve"> 10019)</w:t>
            </w:r>
            <w:r>
              <w:rPr>
                <w:rFonts w:eastAsia="Times New Roman"/>
                <w:sz w:val="24"/>
                <w:szCs w:val="24"/>
              </w:rPr>
              <w:t xml:space="preserve"> per il contributo spettante al  componete del Gruppo Misto per il periodo novembre –dicembre 2019, ai sensi dell’articolo 4 comma 3 della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l.r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82/2012</w:t>
            </w:r>
          </w:p>
        </w:tc>
      </w:tr>
      <w:tr w:rsidR="00E76149" w:rsidRPr="00CF15D2" w:rsidTr="00F62B2B">
        <w:trPr>
          <w:trHeight w:val="477"/>
          <w:jc w:val="center"/>
        </w:trPr>
        <w:tc>
          <w:tcPr>
            <w:tcW w:w="210" w:type="pct"/>
            <w:shd w:val="clear" w:color="000000" w:fill="FFFFFF"/>
            <w:noWrap/>
            <w:vAlign w:val="center"/>
          </w:tcPr>
          <w:p w:rsidR="00E76149" w:rsidRDefault="00E76149" w:rsidP="001523E9">
            <w:pPr>
              <w:jc w:val="center"/>
            </w:pP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:rsidR="00E76149" w:rsidRDefault="00E76149" w:rsidP="001523E9">
            <w:pPr>
              <w:jc w:val="center"/>
            </w:pP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76149" w:rsidRDefault="00E76149" w:rsidP="00E76937">
            <w:pPr>
              <w:jc w:val="center"/>
            </w:pPr>
            <w:r w:rsidRPr="001871D4">
              <w:rPr>
                <w:b/>
                <w:i/>
              </w:rPr>
              <w:t xml:space="preserve">Totale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43" w:type="pct"/>
            <w:shd w:val="clear" w:color="000000" w:fill="FFFFFF"/>
            <w:vAlign w:val="center"/>
          </w:tcPr>
          <w:p w:rsidR="00E76149" w:rsidRPr="00743946" w:rsidRDefault="00E76149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712" w:type="pct"/>
            <w:shd w:val="clear" w:color="000000" w:fill="FFFFFF"/>
            <w:vAlign w:val="center"/>
          </w:tcPr>
          <w:p w:rsidR="00E76149" w:rsidRPr="00743946" w:rsidRDefault="00E76149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417" w:type="pct"/>
            <w:shd w:val="clear" w:color="000000" w:fill="FFFFFF"/>
            <w:vAlign w:val="center"/>
          </w:tcPr>
          <w:p w:rsidR="00E76149" w:rsidRPr="00743946" w:rsidRDefault="00F62B2B" w:rsidP="008061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fldChar w:fldCharType="begin"/>
            </w:r>
            <w:r>
              <w:rPr>
                <w:b/>
                <w:i/>
              </w:rPr>
              <w:instrText xml:space="preserve"> =SUM(ABOVE) </w:instrText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420.833,34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:rsidR="00E76149" w:rsidRPr="00743946" w:rsidRDefault="00E76149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738.000,00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E76149" w:rsidRPr="00743946" w:rsidRDefault="00E76149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757.000,00</w:t>
            </w:r>
          </w:p>
        </w:tc>
        <w:tc>
          <w:tcPr>
            <w:tcW w:w="264" w:type="pct"/>
            <w:vAlign w:val="center"/>
          </w:tcPr>
          <w:p w:rsidR="00E76149" w:rsidRDefault="00E76149" w:rsidP="001523E9">
            <w:pPr>
              <w:jc w:val="center"/>
            </w:pPr>
          </w:p>
        </w:tc>
        <w:tc>
          <w:tcPr>
            <w:tcW w:w="1705" w:type="pct"/>
            <w:vAlign w:val="center"/>
          </w:tcPr>
          <w:p w:rsidR="00E76149" w:rsidRPr="00B02770" w:rsidRDefault="00E76149" w:rsidP="001523E9"/>
        </w:tc>
      </w:tr>
    </w:tbl>
    <w:p w:rsidR="00E76937" w:rsidRDefault="00E76937" w:rsidP="00C6761C">
      <w:pPr>
        <w:rPr>
          <w:b/>
        </w:rPr>
      </w:pPr>
    </w:p>
    <w:p w:rsidR="0079310B" w:rsidRDefault="0079310B" w:rsidP="00C6761C">
      <w:pPr>
        <w:rPr>
          <w:b/>
        </w:rPr>
      </w:pPr>
    </w:p>
    <w:p w:rsidR="0079310B" w:rsidRDefault="0079310B" w:rsidP="00C6761C">
      <w:pPr>
        <w:rPr>
          <w:b/>
        </w:rPr>
      </w:pPr>
    </w:p>
    <w:p w:rsidR="00C06417" w:rsidRDefault="00B02770" w:rsidP="00C6761C">
      <w:pPr>
        <w:rPr>
          <w:b/>
        </w:rPr>
      </w:pPr>
      <w:r w:rsidRPr="00006417">
        <w:rPr>
          <w:b/>
        </w:rPr>
        <w:lastRenderedPageBreak/>
        <w:t>SPESA</w:t>
      </w:r>
      <w:r w:rsidR="00850A29" w:rsidRPr="00006417">
        <w:rPr>
          <w:b/>
        </w:rPr>
        <w:t xml:space="preserve"> CORRENTE</w:t>
      </w:r>
    </w:p>
    <w:p w:rsidR="00F62B2B" w:rsidRPr="006A017A" w:rsidRDefault="00F62B2B" w:rsidP="00C6761C">
      <w:pPr>
        <w:rPr>
          <w:b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5"/>
        <w:gridCol w:w="721"/>
        <w:gridCol w:w="882"/>
        <w:gridCol w:w="2490"/>
        <w:gridCol w:w="1332"/>
        <w:gridCol w:w="1149"/>
        <w:gridCol w:w="1149"/>
        <w:gridCol w:w="1181"/>
        <w:gridCol w:w="1499"/>
        <w:gridCol w:w="3161"/>
      </w:tblGrid>
      <w:tr w:rsidR="0030679D" w:rsidRPr="00CF15D2" w:rsidTr="0030679D">
        <w:trPr>
          <w:trHeight w:val="945"/>
          <w:tblHeader/>
          <w:jc w:val="center"/>
        </w:trPr>
        <w:tc>
          <w:tcPr>
            <w:tcW w:w="306" w:type="pct"/>
            <w:shd w:val="clear" w:color="auto" w:fill="D9D9D9" w:themeFill="background1" w:themeFillShade="D9"/>
            <w:noWrap/>
            <w:vAlign w:val="center"/>
            <w:hideMark/>
          </w:tcPr>
          <w:p w:rsidR="0030679D" w:rsidRPr="00CF15D2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386" w:type="pct"/>
            <w:shd w:val="clear" w:color="auto" w:fill="D9D9D9" w:themeFill="background1" w:themeFillShade="D9"/>
            <w:noWrap/>
            <w:vAlign w:val="center"/>
            <w:hideMark/>
          </w:tcPr>
          <w:p w:rsidR="0030679D" w:rsidRPr="00CF15D2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  <w:vAlign w:val="center"/>
            <w:hideMark/>
          </w:tcPr>
          <w:p w:rsidR="0030679D" w:rsidRPr="00CF15D2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:rsidR="0030679D" w:rsidRPr="00CF15D2" w:rsidRDefault="0030679D" w:rsidP="00E76149">
            <w:pPr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791" w:type="pct"/>
            <w:shd w:val="clear" w:color="auto" w:fill="D9D9D9" w:themeFill="background1" w:themeFillShade="D9"/>
            <w:vAlign w:val="center"/>
          </w:tcPr>
          <w:p w:rsidR="0030679D" w:rsidRPr="00CF15D2" w:rsidRDefault="0030679D" w:rsidP="00E76149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  <w:hideMark/>
          </w:tcPr>
          <w:p w:rsidR="0030679D" w:rsidRPr="00CF15D2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30679D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30679D" w:rsidRPr="00CF15D2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  <w:hideMark/>
          </w:tcPr>
          <w:p w:rsidR="0030679D" w:rsidRPr="00CF15D2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  <w:hideMark/>
          </w:tcPr>
          <w:p w:rsidR="0030679D" w:rsidRPr="00CF15D2" w:rsidRDefault="0030679D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30679D" w:rsidRPr="00CF15D2" w:rsidRDefault="0030679D" w:rsidP="0030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Legge 122/2010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="0030679D" w:rsidRPr="00CF15D2" w:rsidRDefault="0030679D" w:rsidP="007764F4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30679D" w:rsidRPr="007764F4" w:rsidRDefault="0030679D" w:rsidP="007764F4">
            <w:pPr>
              <w:jc w:val="center"/>
              <w:rPr>
                <w:bCs/>
              </w:rPr>
            </w:pPr>
            <w:r w:rsidRPr="007764F4">
              <w:rPr>
                <w:bCs/>
              </w:rPr>
              <w:t>Motivazione</w:t>
            </w:r>
          </w:p>
        </w:tc>
      </w:tr>
      <w:tr w:rsidR="0030679D" w:rsidRPr="00CF15D2" w:rsidTr="0030679D">
        <w:trPr>
          <w:trHeight w:val="753"/>
          <w:jc w:val="center"/>
        </w:trPr>
        <w:tc>
          <w:tcPr>
            <w:tcW w:w="306" w:type="pct"/>
            <w:shd w:val="clear" w:color="000000" w:fill="FFFFFF"/>
            <w:noWrap/>
            <w:vAlign w:val="center"/>
          </w:tcPr>
          <w:p w:rsidR="0030679D" w:rsidRPr="00CF15D2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30679D" w:rsidRPr="00CF15D2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30679D" w:rsidRPr="00CF15D2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:rsidR="0030679D" w:rsidRPr="009623C3" w:rsidRDefault="0030679D" w:rsidP="00E76149">
            <w:pPr>
              <w:jc w:val="center"/>
              <w:rPr>
                <w:rFonts w:asciiTheme="minorHAnsi" w:hAnsiTheme="minorHAnsi" w:cstheme="minorHAnsi"/>
              </w:rPr>
            </w:pPr>
            <w:r w:rsidRPr="00E76149">
              <w:t>10015</w:t>
            </w:r>
          </w:p>
        </w:tc>
        <w:tc>
          <w:tcPr>
            <w:tcW w:w="791" w:type="pct"/>
            <w:shd w:val="clear" w:color="000000" w:fill="FFFFFF"/>
            <w:vAlign w:val="center"/>
          </w:tcPr>
          <w:p w:rsidR="0030679D" w:rsidRDefault="0030679D" w:rsidP="00E761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Assegni vitalizi diretti e indiretti (L.R. 3/2009)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:rsidR="0030679D" w:rsidRPr="009623C3" w:rsidRDefault="0030679D" w:rsidP="008061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387.000,00</w:t>
            </w: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:rsidR="0030679D" w:rsidRPr="00CF15D2" w:rsidRDefault="0030679D" w:rsidP="00806126">
            <w:pPr>
              <w:jc w:val="center"/>
            </w:pPr>
            <w:r>
              <w:t>680.000,00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30679D" w:rsidRPr="00CF15D2" w:rsidRDefault="0030679D" w:rsidP="00806126">
            <w:pPr>
              <w:jc w:val="center"/>
            </w:pPr>
            <w:r>
              <w:t>698.000,00</w:t>
            </w:r>
          </w:p>
        </w:tc>
        <w:tc>
          <w:tcPr>
            <w:tcW w:w="375" w:type="pct"/>
            <w:vAlign w:val="center"/>
          </w:tcPr>
          <w:p w:rsidR="0030679D" w:rsidRPr="0030679D" w:rsidRDefault="0030679D" w:rsidP="0030679D">
            <w:pPr>
              <w:jc w:val="center"/>
            </w:pPr>
            <w:r w:rsidRPr="0030679D">
              <w:t>no</w:t>
            </w:r>
          </w:p>
        </w:tc>
        <w:tc>
          <w:tcPr>
            <w:tcW w:w="476" w:type="pct"/>
            <w:vMerge w:val="restart"/>
            <w:vAlign w:val="center"/>
          </w:tcPr>
          <w:p w:rsidR="0030679D" w:rsidRPr="003E3254" w:rsidRDefault="0030679D" w:rsidP="007764F4">
            <w:pPr>
              <w:jc w:val="center"/>
            </w:pPr>
            <w:r>
              <w:rPr>
                <w:b/>
              </w:rPr>
              <w:t xml:space="preserve"> </w:t>
            </w:r>
          </w:p>
          <w:p w:rsidR="0030679D" w:rsidRPr="003E3254" w:rsidRDefault="0030679D" w:rsidP="007764F4">
            <w:pPr>
              <w:jc w:val="center"/>
            </w:pPr>
            <w:r>
              <w:t>Bilancio e Finanze</w:t>
            </w:r>
          </w:p>
        </w:tc>
        <w:tc>
          <w:tcPr>
            <w:tcW w:w="1004" w:type="pct"/>
            <w:vMerge w:val="restart"/>
            <w:vAlign w:val="center"/>
          </w:tcPr>
          <w:p w:rsidR="0030679D" w:rsidRPr="007764F4" w:rsidRDefault="0030679D" w:rsidP="0027614A">
            <w:pPr>
              <w:jc w:val="both"/>
            </w:pPr>
            <w:r>
              <w:t>La variazione si rende necessaria in attuazione della l.r. 31 maggio 2019 n. 27  “</w:t>
            </w:r>
            <w:r w:rsidRPr="009623C3">
              <w:rPr>
                <w:i/>
              </w:rPr>
              <w:t>Rideterminazione dei vitalizi regionali in attuazione della legge n. 145/20018</w:t>
            </w:r>
            <w:r>
              <w:t>” e della delibera di Giunta regionale n. 754 del 2019 e alla lettera a firma del Segretario generale del 19 luglio 2019 (</w:t>
            </w:r>
            <w:proofErr w:type="spellStart"/>
            <w:r>
              <w:t>prot</w:t>
            </w:r>
            <w:proofErr w:type="spellEnd"/>
            <w:r>
              <w:t>. 11061/5.2).</w:t>
            </w:r>
          </w:p>
        </w:tc>
      </w:tr>
      <w:tr w:rsidR="0030679D" w:rsidRPr="00CF15D2" w:rsidTr="0030679D">
        <w:trPr>
          <w:trHeight w:val="447"/>
          <w:jc w:val="center"/>
        </w:trPr>
        <w:tc>
          <w:tcPr>
            <w:tcW w:w="30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:rsidR="0030679D" w:rsidRPr="00E76149" w:rsidRDefault="0030679D" w:rsidP="00E76149">
            <w:pPr>
              <w:jc w:val="center"/>
            </w:pPr>
            <w:r w:rsidRPr="00E76149">
              <w:t>10016</w:t>
            </w:r>
          </w:p>
        </w:tc>
        <w:tc>
          <w:tcPr>
            <w:tcW w:w="791" w:type="pct"/>
            <w:shd w:val="clear" w:color="000000" w:fill="FFFFFF"/>
            <w:vAlign w:val="center"/>
          </w:tcPr>
          <w:p w:rsidR="0030679D" w:rsidRPr="00E76149" w:rsidRDefault="0030679D" w:rsidP="00E76149">
            <w:pPr>
              <w:jc w:val="center"/>
            </w:pPr>
            <w:r>
              <w:t>Irap assegni vitalizi diretti e indiretti (L.R. 3/2009)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:rsidR="0030679D" w:rsidRPr="00E76149" w:rsidRDefault="0030679D" w:rsidP="00806126">
            <w:pPr>
              <w:jc w:val="center"/>
            </w:pPr>
            <w:r w:rsidRPr="00E76149">
              <w:t>33.000,00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30679D" w:rsidRPr="00E76149" w:rsidRDefault="0030679D" w:rsidP="00806126">
            <w:pPr>
              <w:jc w:val="center"/>
            </w:pPr>
            <w:r w:rsidRPr="00E76149">
              <w:t>58.000,00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0679D" w:rsidRPr="00E76149" w:rsidRDefault="0030679D" w:rsidP="00806126">
            <w:pPr>
              <w:jc w:val="center"/>
            </w:pPr>
            <w:r w:rsidRPr="00E76149">
              <w:t>59.000,00</w:t>
            </w:r>
          </w:p>
        </w:tc>
        <w:tc>
          <w:tcPr>
            <w:tcW w:w="375" w:type="pct"/>
            <w:vAlign w:val="center"/>
          </w:tcPr>
          <w:p w:rsidR="0030679D" w:rsidRDefault="0030679D" w:rsidP="0030679D">
            <w:pPr>
              <w:jc w:val="center"/>
            </w:pPr>
            <w:r w:rsidRPr="0030679D">
              <w:t>no</w:t>
            </w:r>
          </w:p>
        </w:tc>
        <w:tc>
          <w:tcPr>
            <w:tcW w:w="476" w:type="pct"/>
            <w:vMerge/>
            <w:vAlign w:val="center"/>
          </w:tcPr>
          <w:p w:rsidR="0030679D" w:rsidRDefault="0030679D" w:rsidP="007764F4">
            <w:pPr>
              <w:jc w:val="center"/>
            </w:pPr>
          </w:p>
        </w:tc>
        <w:tc>
          <w:tcPr>
            <w:tcW w:w="1004" w:type="pct"/>
            <w:vMerge/>
            <w:vAlign w:val="center"/>
          </w:tcPr>
          <w:p w:rsidR="0030679D" w:rsidRDefault="0030679D" w:rsidP="00333FEE">
            <w:pPr>
              <w:jc w:val="center"/>
            </w:pPr>
          </w:p>
        </w:tc>
      </w:tr>
      <w:tr w:rsidR="0030679D" w:rsidRPr="00CF15D2" w:rsidTr="0030679D">
        <w:trPr>
          <w:trHeight w:val="447"/>
          <w:jc w:val="center"/>
        </w:trPr>
        <w:tc>
          <w:tcPr>
            <w:tcW w:w="30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:rsidR="0030679D" w:rsidRPr="00E76149" w:rsidRDefault="0030679D" w:rsidP="00E76149">
            <w:pPr>
              <w:jc w:val="center"/>
            </w:pPr>
            <w:r w:rsidRPr="00E76149">
              <w:t>10015</w:t>
            </w:r>
          </w:p>
        </w:tc>
        <w:tc>
          <w:tcPr>
            <w:tcW w:w="791" w:type="pct"/>
            <w:shd w:val="clear" w:color="000000" w:fill="FFFFFF"/>
            <w:vAlign w:val="center"/>
          </w:tcPr>
          <w:p w:rsidR="0030679D" w:rsidRPr="00E76149" w:rsidRDefault="0030679D" w:rsidP="00E76149">
            <w:pPr>
              <w:jc w:val="center"/>
            </w:pPr>
            <w:r>
              <w:rPr>
                <w:rFonts w:asciiTheme="minorHAnsi" w:hAnsiTheme="minorHAnsi" w:cstheme="minorHAnsi"/>
              </w:rPr>
              <w:t>Assegni vitalizi diretti e indiretti (L.R. 3/2009)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:rsidR="0030679D" w:rsidRPr="00E76149" w:rsidRDefault="0030679D" w:rsidP="00806126">
            <w:pPr>
              <w:jc w:val="center"/>
            </w:pPr>
            <w:r w:rsidRPr="00E76149">
              <w:t>-5.000,00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30679D" w:rsidRPr="00E76149" w:rsidRDefault="0030679D" w:rsidP="00806126">
            <w:pPr>
              <w:jc w:val="center"/>
            </w:pPr>
            <w:r w:rsidRPr="00E76149">
              <w:t>--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0679D" w:rsidRPr="00E76149" w:rsidRDefault="0030679D" w:rsidP="00806126">
            <w:pPr>
              <w:jc w:val="center"/>
            </w:pPr>
            <w:r w:rsidRPr="00E76149">
              <w:t>--</w:t>
            </w:r>
          </w:p>
        </w:tc>
        <w:tc>
          <w:tcPr>
            <w:tcW w:w="375" w:type="pct"/>
            <w:vAlign w:val="center"/>
          </w:tcPr>
          <w:p w:rsidR="0030679D" w:rsidRDefault="0030679D" w:rsidP="0030679D">
            <w:pPr>
              <w:jc w:val="center"/>
            </w:pPr>
            <w:r w:rsidRPr="0030679D">
              <w:t>no</w:t>
            </w:r>
          </w:p>
        </w:tc>
        <w:tc>
          <w:tcPr>
            <w:tcW w:w="476" w:type="pct"/>
            <w:vMerge/>
            <w:vAlign w:val="center"/>
          </w:tcPr>
          <w:p w:rsidR="0030679D" w:rsidRDefault="0030679D" w:rsidP="007764F4">
            <w:pPr>
              <w:jc w:val="center"/>
            </w:pPr>
          </w:p>
        </w:tc>
        <w:tc>
          <w:tcPr>
            <w:tcW w:w="1004" w:type="pct"/>
            <w:vMerge w:val="restart"/>
            <w:vAlign w:val="center"/>
          </w:tcPr>
          <w:p w:rsidR="0030679D" w:rsidRDefault="0030679D" w:rsidP="000D343C">
            <w:pPr>
              <w:jc w:val="both"/>
            </w:pPr>
            <w:r>
              <w:t>La variazione compensativa tra pro</w:t>
            </w:r>
            <w:bookmarkStart w:id="0" w:name="_GoBack"/>
            <w:bookmarkEnd w:id="0"/>
            <w:r>
              <w:t>gramma 1 e programma 10 è conseguente alla maggiore spesa per missioni del personale del Consiglio da sostenere entro il 31 dicembre 2019</w:t>
            </w:r>
          </w:p>
        </w:tc>
      </w:tr>
      <w:tr w:rsidR="0030679D" w:rsidRPr="00CF15D2" w:rsidTr="0030679D">
        <w:trPr>
          <w:trHeight w:val="447"/>
          <w:jc w:val="center"/>
        </w:trPr>
        <w:tc>
          <w:tcPr>
            <w:tcW w:w="921" w:type="pct"/>
            <w:gridSpan w:val="3"/>
            <w:shd w:val="clear" w:color="000000" w:fill="FFFFFF"/>
            <w:noWrap/>
            <w:vAlign w:val="center"/>
          </w:tcPr>
          <w:p w:rsidR="0030679D" w:rsidRPr="00E76149" w:rsidRDefault="0030679D" w:rsidP="007764F4">
            <w:pPr>
              <w:jc w:val="center"/>
              <w:rPr>
                <w:i/>
              </w:rPr>
            </w:pPr>
            <w:r>
              <w:rPr>
                <w:i/>
              </w:rPr>
              <w:t>Totale parziale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:rsidR="0030679D" w:rsidRPr="00E76149" w:rsidRDefault="0030679D" w:rsidP="00E76149">
            <w:pPr>
              <w:jc w:val="center"/>
              <w:rPr>
                <w:i/>
              </w:rPr>
            </w:pPr>
          </w:p>
        </w:tc>
        <w:tc>
          <w:tcPr>
            <w:tcW w:w="791" w:type="pct"/>
            <w:shd w:val="clear" w:color="000000" w:fill="FFFFFF"/>
            <w:vAlign w:val="center"/>
          </w:tcPr>
          <w:p w:rsidR="0030679D" w:rsidRPr="00E76149" w:rsidRDefault="0030679D" w:rsidP="00E76149">
            <w:pPr>
              <w:jc w:val="center"/>
              <w:rPr>
                <w:i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:rsidR="0030679D" w:rsidRPr="00E76149" w:rsidRDefault="0030679D" w:rsidP="00806126">
            <w:pPr>
              <w:jc w:val="center"/>
              <w:rPr>
                <w:i/>
              </w:rPr>
            </w:pPr>
            <w:r w:rsidRPr="00E76149">
              <w:rPr>
                <w:i/>
              </w:rPr>
              <w:t>415.000,00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30679D" w:rsidRPr="00E76149" w:rsidRDefault="0030679D" w:rsidP="002D05E1">
            <w:pPr>
              <w:jc w:val="center"/>
            </w:pPr>
            <w:r w:rsidRPr="00E76149">
              <w:t>738.000,00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0679D" w:rsidRPr="00E76149" w:rsidRDefault="0030679D" w:rsidP="002D05E1">
            <w:pPr>
              <w:jc w:val="center"/>
            </w:pPr>
            <w:r w:rsidRPr="00E76149">
              <w:t>757.000,00</w:t>
            </w:r>
          </w:p>
        </w:tc>
        <w:tc>
          <w:tcPr>
            <w:tcW w:w="375" w:type="pct"/>
            <w:vAlign w:val="center"/>
          </w:tcPr>
          <w:p w:rsidR="0030679D" w:rsidRDefault="0030679D" w:rsidP="0030679D">
            <w:pPr>
              <w:jc w:val="center"/>
            </w:pPr>
          </w:p>
        </w:tc>
        <w:tc>
          <w:tcPr>
            <w:tcW w:w="476" w:type="pct"/>
            <w:vAlign w:val="center"/>
          </w:tcPr>
          <w:p w:rsidR="0030679D" w:rsidRDefault="0030679D" w:rsidP="007764F4">
            <w:pPr>
              <w:jc w:val="center"/>
            </w:pPr>
          </w:p>
        </w:tc>
        <w:tc>
          <w:tcPr>
            <w:tcW w:w="1004" w:type="pct"/>
            <w:vMerge/>
            <w:vAlign w:val="center"/>
          </w:tcPr>
          <w:p w:rsidR="0030679D" w:rsidRDefault="0030679D" w:rsidP="007764F4">
            <w:pPr>
              <w:jc w:val="center"/>
            </w:pPr>
          </w:p>
        </w:tc>
      </w:tr>
      <w:tr w:rsidR="0030679D" w:rsidRPr="00CF15D2" w:rsidTr="0030679D">
        <w:trPr>
          <w:trHeight w:val="447"/>
          <w:jc w:val="center"/>
        </w:trPr>
        <w:tc>
          <w:tcPr>
            <w:tcW w:w="30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>
              <w:t>10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30679D" w:rsidRPr="00E76937" w:rsidRDefault="0030679D" w:rsidP="007764F4">
            <w:pPr>
              <w:jc w:val="center"/>
              <w:rPr>
                <w:rFonts w:asciiTheme="minorHAnsi" w:hAnsiTheme="minorHAnsi" w:cstheme="minorHAnsi"/>
                <w:strike/>
              </w:rPr>
            </w:pPr>
            <w:r>
              <w:t>1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:rsidR="0030679D" w:rsidRDefault="0030679D" w:rsidP="00E76149">
            <w:pPr>
              <w:jc w:val="center"/>
            </w:pPr>
            <w:r>
              <w:t>10620</w:t>
            </w:r>
          </w:p>
        </w:tc>
        <w:tc>
          <w:tcPr>
            <w:tcW w:w="791" w:type="pct"/>
            <w:shd w:val="clear" w:color="000000" w:fill="FFFFFF"/>
            <w:vAlign w:val="center"/>
          </w:tcPr>
          <w:p w:rsidR="0030679D" w:rsidRDefault="0030679D" w:rsidP="00E76149">
            <w:pPr>
              <w:jc w:val="center"/>
            </w:pPr>
            <w:r>
              <w:t>Rimborso alla Giunta regionale della spesa sostenuta per missioni in Italia del personale del Consiglio regionale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:rsidR="0030679D" w:rsidRDefault="0030679D" w:rsidP="00806126">
            <w:pPr>
              <w:jc w:val="center"/>
            </w:pPr>
            <w:r>
              <w:t>5.000,00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30679D" w:rsidRDefault="0030679D" w:rsidP="002D05E1">
            <w:pPr>
              <w:jc w:val="center"/>
            </w:pPr>
            <w:r>
              <w:t>--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0679D" w:rsidRDefault="0030679D" w:rsidP="002D05E1">
            <w:pPr>
              <w:jc w:val="center"/>
            </w:pPr>
            <w:r>
              <w:t>--</w:t>
            </w:r>
          </w:p>
        </w:tc>
        <w:tc>
          <w:tcPr>
            <w:tcW w:w="375" w:type="pct"/>
            <w:vAlign w:val="center"/>
          </w:tcPr>
          <w:p w:rsidR="0030679D" w:rsidRDefault="0030679D" w:rsidP="0030679D">
            <w:pPr>
              <w:jc w:val="center"/>
            </w:pPr>
            <w:r>
              <w:t>si</w:t>
            </w:r>
          </w:p>
        </w:tc>
        <w:tc>
          <w:tcPr>
            <w:tcW w:w="476" w:type="pct"/>
            <w:vAlign w:val="center"/>
          </w:tcPr>
          <w:p w:rsidR="0030679D" w:rsidRDefault="0030679D" w:rsidP="007764F4">
            <w:pPr>
              <w:jc w:val="center"/>
            </w:pPr>
            <w:r>
              <w:t>Organizzazione personale. Informatica</w:t>
            </w:r>
          </w:p>
        </w:tc>
        <w:tc>
          <w:tcPr>
            <w:tcW w:w="1004" w:type="pct"/>
            <w:vMerge/>
            <w:vAlign w:val="center"/>
          </w:tcPr>
          <w:p w:rsidR="0030679D" w:rsidRDefault="0030679D" w:rsidP="007764F4">
            <w:pPr>
              <w:jc w:val="center"/>
            </w:pPr>
          </w:p>
        </w:tc>
      </w:tr>
      <w:tr w:rsidR="0030679D" w:rsidRPr="00CF15D2" w:rsidTr="0030679D">
        <w:trPr>
          <w:trHeight w:val="447"/>
          <w:jc w:val="center"/>
        </w:trPr>
        <w:tc>
          <w:tcPr>
            <w:tcW w:w="306" w:type="pct"/>
            <w:shd w:val="clear" w:color="000000" w:fill="FFFFFF"/>
            <w:noWrap/>
            <w:vAlign w:val="center"/>
          </w:tcPr>
          <w:p w:rsidR="0030679D" w:rsidRDefault="0030679D" w:rsidP="00D60CEB">
            <w:pPr>
              <w:jc w:val="center"/>
            </w:pPr>
            <w:r>
              <w:t>1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30679D" w:rsidRDefault="0030679D" w:rsidP="00D60CEB">
            <w:pPr>
              <w:jc w:val="center"/>
            </w:pPr>
            <w:r>
              <w:t>1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30679D" w:rsidRDefault="0030679D" w:rsidP="00D60CEB">
            <w:pPr>
              <w:jc w:val="center"/>
            </w:pPr>
            <w:r>
              <w:t>1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:rsidR="0030679D" w:rsidRPr="00D83D07" w:rsidRDefault="0030679D" w:rsidP="00E76149">
            <w:pPr>
              <w:jc w:val="center"/>
            </w:pPr>
            <w:r w:rsidRPr="00D83D07">
              <w:t>10019</w:t>
            </w:r>
          </w:p>
        </w:tc>
        <w:tc>
          <w:tcPr>
            <w:tcW w:w="791" w:type="pct"/>
            <w:shd w:val="clear" w:color="000000" w:fill="FFFFFF"/>
            <w:vAlign w:val="center"/>
          </w:tcPr>
          <w:p w:rsidR="0030679D" w:rsidRPr="00D83D07" w:rsidRDefault="0030679D" w:rsidP="00E76149">
            <w:pPr>
              <w:jc w:val="center"/>
            </w:pPr>
            <w:r w:rsidRPr="00D83D07">
              <w:rPr>
                <w:rFonts w:eastAsia="Times New Roman"/>
                <w:sz w:val="24"/>
                <w:szCs w:val="36"/>
              </w:rPr>
              <w:t>Contributo per il finanziamento dei Gruppi Consiliari (</w:t>
            </w:r>
            <w:proofErr w:type="spellStart"/>
            <w:r w:rsidRPr="00D83D07">
              <w:rPr>
                <w:rFonts w:eastAsia="Times New Roman"/>
                <w:sz w:val="24"/>
                <w:szCs w:val="36"/>
              </w:rPr>
              <w:t>l.r</w:t>
            </w:r>
            <w:proofErr w:type="spellEnd"/>
            <w:r w:rsidRPr="00D83D07">
              <w:rPr>
                <w:rFonts w:eastAsia="Times New Roman"/>
                <w:sz w:val="24"/>
                <w:szCs w:val="36"/>
              </w:rPr>
              <w:t>. 83/2012)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:rsidR="0030679D" w:rsidRPr="002477D3" w:rsidRDefault="0030679D" w:rsidP="00806126">
            <w:pPr>
              <w:jc w:val="center"/>
            </w:pPr>
            <w:r w:rsidRPr="002477D3">
              <w:t>833,34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30679D" w:rsidRPr="00743946" w:rsidRDefault="0030679D" w:rsidP="008061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--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0679D" w:rsidRPr="00743946" w:rsidRDefault="0030679D" w:rsidP="008061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--</w:t>
            </w:r>
          </w:p>
        </w:tc>
        <w:tc>
          <w:tcPr>
            <w:tcW w:w="375" w:type="pct"/>
            <w:vAlign w:val="center"/>
          </w:tcPr>
          <w:p w:rsidR="0030679D" w:rsidRDefault="0030679D" w:rsidP="0030679D">
            <w:pPr>
              <w:jc w:val="center"/>
            </w:pPr>
            <w:r w:rsidRPr="0030679D">
              <w:t>no</w:t>
            </w:r>
          </w:p>
        </w:tc>
        <w:tc>
          <w:tcPr>
            <w:tcW w:w="476" w:type="pct"/>
            <w:vAlign w:val="center"/>
          </w:tcPr>
          <w:p w:rsidR="0030679D" w:rsidRDefault="0030679D" w:rsidP="007764F4">
            <w:pPr>
              <w:jc w:val="center"/>
            </w:pPr>
            <w:r>
              <w:t>Bilancio e Finanze</w:t>
            </w:r>
          </w:p>
        </w:tc>
        <w:tc>
          <w:tcPr>
            <w:tcW w:w="1004" w:type="pct"/>
            <w:vAlign w:val="center"/>
          </w:tcPr>
          <w:p w:rsidR="0030679D" w:rsidRDefault="0030679D" w:rsidP="007764F4">
            <w:pPr>
              <w:jc w:val="center"/>
            </w:pPr>
            <w:r>
              <w:t>Incremento della spesa collegato all’incremento dell’entrata sul capitolo 3056</w:t>
            </w:r>
          </w:p>
        </w:tc>
      </w:tr>
      <w:tr w:rsidR="0030679D" w:rsidRPr="00CF15D2" w:rsidTr="0030679D">
        <w:trPr>
          <w:trHeight w:val="447"/>
          <w:jc w:val="center"/>
        </w:trPr>
        <w:tc>
          <w:tcPr>
            <w:tcW w:w="30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30679D" w:rsidRDefault="0030679D" w:rsidP="007764F4">
            <w:pPr>
              <w:jc w:val="center"/>
            </w:pPr>
            <w:r w:rsidRPr="001871D4">
              <w:rPr>
                <w:b/>
                <w:i/>
              </w:rPr>
              <w:t xml:space="preserve">Totale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:rsidR="0030679D" w:rsidRPr="00743946" w:rsidRDefault="0030679D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791" w:type="pct"/>
            <w:shd w:val="clear" w:color="000000" w:fill="FFFFFF"/>
            <w:vAlign w:val="center"/>
          </w:tcPr>
          <w:p w:rsidR="0030679D" w:rsidRPr="00743946" w:rsidRDefault="0030679D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:rsidR="0030679D" w:rsidRPr="00743946" w:rsidRDefault="0030679D" w:rsidP="008061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fldChar w:fldCharType="begin"/>
            </w:r>
            <w:r>
              <w:rPr>
                <w:b/>
                <w:i/>
              </w:rPr>
              <w:instrText xml:space="preserve"> =SUM(ABOVE) </w:instrText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420.833,34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:rsidR="0030679D" w:rsidRPr="00743946" w:rsidRDefault="0030679D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738.000,00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0679D" w:rsidRPr="00743946" w:rsidRDefault="0030679D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757.000,00</w:t>
            </w:r>
          </w:p>
        </w:tc>
        <w:tc>
          <w:tcPr>
            <w:tcW w:w="375" w:type="pct"/>
            <w:vAlign w:val="center"/>
          </w:tcPr>
          <w:p w:rsidR="0030679D" w:rsidRDefault="0030679D" w:rsidP="0030679D">
            <w:pPr>
              <w:jc w:val="center"/>
            </w:pPr>
          </w:p>
        </w:tc>
        <w:tc>
          <w:tcPr>
            <w:tcW w:w="476" w:type="pct"/>
            <w:vAlign w:val="center"/>
          </w:tcPr>
          <w:p w:rsidR="0030679D" w:rsidRDefault="0030679D" w:rsidP="007764F4">
            <w:pPr>
              <w:jc w:val="center"/>
            </w:pPr>
          </w:p>
        </w:tc>
        <w:tc>
          <w:tcPr>
            <w:tcW w:w="1004" w:type="pct"/>
            <w:vAlign w:val="center"/>
          </w:tcPr>
          <w:p w:rsidR="0030679D" w:rsidRDefault="0030679D" w:rsidP="007764F4">
            <w:pPr>
              <w:jc w:val="center"/>
            </w:pPr>
          </w:p>
        </w:tc>
      </w:tr>
    </w:tbl>
    <w:p w:rsidR="0027614A" w:rsidRDefault="0027614A" w:rsidP="00511D93"/>
    <w:p w:rsidR="00CC4932" w:rsidRDefault="00CC4932" w:rsidP="00511D93"/>
    <w:p w:rsidR="00CC4932" w:rsidRDefault="00CC4932" w:rsidP="00511D93"/>
    <w:p w:rsidR="002477D3" w:rsidRDefault="002477D3" w:rsidP="00511D93"/>
    <w:p w:rsidR="00E76149" w:rsidRDefault="00E76149" w:rsidP="00511D93"/>
    <w:p w:rsidR="0067469F" w:rsidRDefault="0067469F" w:rsidP="00511D93"/>
    <w:p w:rsidR="008D049F" w:rsidRDefault="008D049F" w:rsidP="00511D93"/>
    <w:p w:rsidR="0067469F" w:rsidRDefault="0067469F" w:rsidP="00511D93"/>
    <w:p w:rsidR="008D049F" w:rsidRDefault="008D049F" w:rsidP="00511D93"/>
    <w:p w:rsidR="00511D93" w:rsidRPr="00511D93" w:rsidRDefault="00511D93" w:rsidP="0027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>PREVISIONI</w:t>
      </w:r>
      <w:r w:rsidRPr="00555B6E">
        <w:rPr>
          <w:b/>
        </w:rPr>
        <w:t xml:space="preserve"> ENTRATE E SPESE PER PARTITE DI GIRO</w:t>
      </w:r>
      <w:r w:rsidR="006A017A">
        <w:rPr>
          <w:b/>
        </w:rPr>
        <w:t xml:space="preserve"> E C/TERZI</w:t>
      </w:r>
      <w:r>
        <w:rPr>
          <w:b/>
        </w:rPr>
        <w:t xml:space="preserve"> </w:t>
      </w:r>
      <w:r w:rsidRPr="00511D93">
        <w:rPr>
          <w:b/>
        </w:rPr>
        <w:t xml:space="preserve">(Art. 51 </w:t>
      </w:r>
      <w:proofErr w:type="spellStart"/>
      <w:r w:rsidRPr="00511D93">
        <w:rPr>
          <w:b/>
        </w:rPr>
        <w:t>d.lgs</w:t>
      </w:r>
      <w:proofErr w:type="spellEnd"/>
      <w:r w:rsidRPr="00511D93">
        <w:rPr>
          <w:b/>
        </w:rPr>
        <w:t xml:space="preserve"> 118/2011)</w:t>
      </w:r>
    </w:p>
    <w:p w:rsidR="00511D93" w:rsidRPr="00511D93" w:rsidRDefault="00511D93" w:rsidP="00511D93"/>
    <w:p w:rsidR="006A017A" w:rsidRDefault="00511D93" w:rsidP="00511D93">
      <w:pPr>
        <w:shd w:val="clear" w:color="auto" w:fill="FFFFFF" w:themeFill="background1"/>
      </w:pPr>
      <w:r>
        <w:t xml:space="preserve">ENTRATA </w:t>
      </w:r>
      <w:r w:rsidR="006A017A">
        <w:t>per partite di giro e c/terzi</w:t>
      </w:r>
    </w:p>
    <w:tbl>
      <w:tblPr>
        <w:tblW w:w="52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980"/>
        <w:gridCol w:w="1017"/>
        <w:gridCol w:w="1283"/>
        <w:gridCol w:w="2573"/>
        <w:gridCol w:w="1330"/>
        <w:gridCol w:w="864"/>
        <w:gridCol w:w="864"/>
        <w:gridCol w:w="1900"/>
        <w:gridCol w:w="4170"/>
      </w:tblGrid>
      <w:tr w:rsidR="008D049F" w:rsidRPr="003C0CBE" w:rsidTr="008D049F">
        <w:trPr>
          <w:trHeight w:val="657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Titolo</w:t>
            </w:r>
          </w:p>
        </w:tc>
        <w:tc>
          <w:tcPr>
            <w:tcW w:w="313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Tipologia</w:t>
            </w:r>
          </w:p>
        </w:tc>
        <w:tc>
          <w:tcPr>
            <w:tcW w:w="325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Categoria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="00E76149" w:rsidRPr="00CF15D2" w:rsidRDefault="002040D8" w:rsidP="00EF1F7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E76149">
              <w:rPr>
                <w:b/>
              </w:rPr>
              <w:t>apitolo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:rsidR="00E76149" w:rsidRPr="00CF15D2" w:rsidRDefault="00E76149" w:rsidP="00EF1F72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  <w:hideMark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(competenza</w:t>
            </w:r>
          </w:p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e cassa)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Bilancio 202</w:t>
            </w:r>
            <w:r>
              <w:rPr>
                <w:b/>
              </w:rPr>
              <w:t>1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Settore</w:t>
            </w:r>
          </w:p>
        </w:tc>
        <w:tc>
          <w:tcPr>
            <w:tcW w:w="1332" w:type="pct"/>
            <w:shd w:val="clear" w:color="auto" w:fill="D9D9D9" w:themeFill="background1" w:themeFillShade="D9"/>
            <w:vAlign w:val="center"/>
          </w:tcPr>
          <w:p w:rsidR="00E76149" w:rsidRPr="003C0CBE" w:rsidRDefault="00E76149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Motivazione</w:t>
            </w:r>
          </w:p>
        </w:tc>
      </w:tr>
      <w:tr w:rsidR="00D83D07" w:rsidRPr="00D83D07" w:rsidTr="008D049F">
        <w:trPr>
          <w:trHeight w:val="753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:rsidR="00D83D07" w:rsidRPr="00D83D07" w:rsidRDefault="00D83D07" w:rsidP="00746842">
            <w:pPr>
              <w:jc w:val="center"/>
            </w:pPr>
            <w:r w:rsidRPr="00D83D07">
              <w:t>9</w:t>
            </w: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D83D07" w:rsidRPr="00D83D07" w:rsidRDefault="00D83D07" w:rsidP="00746842">
            <w:pPr>
              <w:jc w:val="center"/>
            </w:pPr>
            <w:r w:rsidRPr="00D83D07">
              <w:t>100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D83D07" w:rsidRPr="00D83D07" w:rsidRDefault="00D83D07" w:rsidP="00746842">
            <w:pPr>
              <w:jc w:val="center"/>
            </w:pPr>
            <w:r w:rsidRPr="00D83D07">
              <w:t>2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D83D07" w:rsidRPr="00D83D07" w:rsidRDefault="00D83D07" w:rsidP="00746842">
            <w:pPr>
              <w:jc w:val="center"/>
            </w:pPr>
            <w:r w:rsidRPr="00D83D07">
              <w:t>9013</w:t>
            </w:r>
          </w:p>
        </w:tc>
        <w:tc>
          <w:tcPr>
            <w:tcW w:w="822" w:type="pct"/>
            <w:shd w:val="clear" w:color="000000" w:fill="FFFFFF"/>
            <w:vAlign w:val="center"/>
          </w:tcPr>
          <w:p w:rsidR="00D83D07" w:rsidRPr="00D83D07" w:rsidRDefault="00D83D07" w:rsidP="00746842">
            <w:pPr>
              <w:jc w:val="center"/>
            </w:pPr>
            <w:r w:rsidRPr="00D83D07">
              <w:t>Ritenute erariali applicate su redditi assimilati a lavoro dipendente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83D07" w:rsidRPr="00D83D07" w:rsidRDefault="00D83D07" w:rsidP="00746842">
            <w:pPr>
              <w:jc w:val="center"/>
            </w:pPr>
            <w:r w:rsidRPr="00D83D07">
              <w:t>200.000,00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607" w:type="pct"/>
            <w:vAlign w:val="center"/>
          </w:tcPr>
          <w:p w:rsidR="00D83D07" w:rsidRPr="00D83D07" w:rsidRDefault="00D83D07" w:rsidP="002D05E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2" w:type="pct"/>
            <w:vMerge w:val="restart"/>
            <w:vAlign w:val="center"/>
          </w:tcPr>
          <w:p w:rsidR="00D83D07" w:rsidRPr="00D83D07" w:rsidRDefault="00D83D07" w:rsidP="001B7BBA">
            <w:pPr>
              <w:jc w:val="both"/>
            </w:pPr>
            <w:r w:rsidRPr="00D83D07">
              <w:t xml:space="preserve">Adeguamento dello stanziamento conseguente alle maggiori ritenute su redditi assimilati a lavoro dipendente conseguente alla rideterminazione degli assegni vitalizi e alle maggiori ritenute gestione split </w:t>
            </w:r>
            <w:proofErr w:type="spellStart"/>
            <w:r w:rsidRPr="00D83D07">
              <w:t>payment</w:t>
            </w:r>
            <w:proofErr w:type="spellEnd"/>
            <w:r w:rsidRPr="00D83D07">
              <w:t xml:space="preserve"> entro il 31 dicembre 2019. Incremento del fondo economale collegato alla maggiore spesa sul </w:t>
            </w:r>
            <w:proofErr w:type="spellStart"/>
            <w:r w:rsidRPr="00D83D07">
              <w:t>cap</w:t>
            </w:r>
            <w:proofErr w:type="spellEnd"/>
            <w:r w:rsidRPr="00D83D07">
              <w:t xml:space="preserve"> 70026</w:t>
            </w:r>
          </w:p>
        </w:tc>
      </w:tr>
      <w:tr w:rsidR="00D83D07" w:rsidRPr="00D83D07" w:rsidTr="008D049F">
        <w:trPr>
          <w:trHeight w:val="753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9</w:t>
            </w: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100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2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</w:pPr>
            <w:r w:rsidRPr="00D83D07">
              <w:t>9015</w:t>
            </w:r>
          </w:p>
        </w:tc>
        <w:tc>
          <w:tcPr>
            <w:tcW w:w="822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  <w:rPr>
                <w:lang w:val="en-US"/>
              </w:rPr>
            </w:pPr>
            <w:proofErr w:type="spellStart"/>
            <w:r w:rsidRPr="00D83D07">
              <w:rPr>
                <w:lang w:val="en-US"/>
              </w:rPr>
              <w:t>Ritenute</w:t>
            </w:r>
            <w:proofErr w:type="spellEnd"/>
            <w:r w:rsidRPr="00D83D07">
              <w:rPr>
                <w:lang w:val="en-US"/>
              </w:rPr>
              <w:t xml:space="preserve"> </w:t>
            </w:r>
            <w:proofErr w:type="spellStart"/>
            <w:r w:rsidRPr="00D83D07">
              <w:rPr>
                <w:lang w:val="en-US"/>
              </w:rPr>
              <w:t>erariali</w:t>
            </w:r>
            <w:proofErr w:type="spellEnd"/>
            <w:r w:rsidRPr="00D83D07">
              <w:rPr>
                <w:lang w:val="en-US"/>
              </w:rPr>
              <w:t xml:space="preserve"> split payment art. 17 </w:t>
            </w:r>
            <w:proofErr w:type="spellStart"/>
            <w:r w:rsidRPr="00D83D07">
              <w:rPr>
                <w:lang w:val="en-US"/>
              </w:rPr>
              <w:t>ter</w:t>
            </w:r>
            <w:proofErr w:type="spellEnd"/>
            <w:r w:rsidRPr="00D83D07">
              <w:rPr>
                <w:lang w:val="en-US"/>
              </w:rPr>
              <w:t xml:space="preserve"> DPR 633 del 1972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83D07" w:rsidRPr="00D83D07" w:rsidRDefault="00D83D07" w:rsidP="0067469F">
            <w:pPr>
              <w:jc w:val="center"/>
            </w:pPr>
            <w:r w:rsidRPr="00D83D07">
              <w:t>62.000,00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--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--</w:t>
            </w:r>
          </w:p>
        </w:tc>
        <w:tc>
          <w:tcPr>
            <w:tcW w:w="607" w:type="pct"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332" w:type="pct"/>
            <w:vMerge/>
            <w:vAlign w:val="center"/>
          </w:tcPr>
          <w:p w:rsidR="00D83D07" w:rsidRPr="00D83D07" w:rsidRDefault="00D83D07" w:rsidP="001B7BBA">
            <w:pPr>
              <w:jc w:val="both"/>
            </w:pPr>
          </w:p>
        </w:tc>
      </w:tr>
      <w:tr w:rsidR="00D83D07" w:rsidRPr="00D83D07" w:rsidTr="008D049F">
        <w:trPr>
          <w:trHeight w:val="753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9</w:t>
            </w: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100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99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</w:pPr>
            <w:r w:rsidRPr="00D83D07">
              <w:t>9025</w:t>
            </w:r>
          </w:p>
        </w:tc>
        <w:tc>
          <w:tcPr>
            <w:tcW w:w="822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</w:pPr>
            <w:r w:rsidRPr="00D83D07">
              <w:t>Restituzione dall'economo del fondo economale - conto corrente economale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83D07" w:rsidRPr="00D83D07" w:rsidRDefault="00D83D07" w:rsidP="0067469F">
            <w:pPr>
              <w:pStyle w:val="Paragrafoelenco"/>
              <w:ind w:left="87"/>
              <w:jc w:val="center"/>
            </w:pPr>
            <w:r w:rsidRPr="00D83D07">
              <w:t>3.000,00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607" w:type="pct"/>
            <w:vAlign w:val="center"/>
          </w:tcPr>
          <w:p w:rsidR="00D83D07" w:rsidRPr="00D83D07" w:rsidRDefault="00D83D07" w:rsidP="002D05E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2" w:type="pct"/>
            <w:vMerge/>
            <w:vAlign w:val="center"/>
          </w:tcPr>
          <w:p w:rsidR="00D83D07" w:rsidRPr="00D83D07" w:rsidRDefault="00D83D07" w:rsidP="007B0D03">
            <w:pPr>
              <w:jc w:val="both"/>
            </w:pPr>
          </w:p>
        </w:tc>
      </w:tr>
      <w:tr w:rsidR="00D83D07" w:rsidRPr="00D83D07" w:rsidTr="008D049F">
        <w:trPr>
          <w:trHeight w:val="294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9</w:t>
            </w: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200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4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</w:pPr>
            <w:r w:rsidRPr="00D83D07">
              <w:t>9021</w:t>
            </w:r>
          </w:p>
        </w:tc>
        <w:tc>
          <w:tcPr>
            <w:tcW w:w="822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</w:pPr>
            <w:r w:rsidRPr="00D83D07">
              <w:t>Incasso depositi cauzionali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5.000,00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--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D83D07" w:rsidRPr="00D83D07" w:rsidRDefault="00D83D07" w:rsidP="002D05E1">
            <w:pPr>
              <w:jc w:val="center"/>
            </w:pPr>
            <w:r w:rsidRPr="00D83D07">
              <w:t>--</w:t>
            </w:r>
          </w:p>
        </w:tc>
        <w:tc>
          <w:tcPr>
            <w:tcW w:w="607" w:type="pct"/>
            <w:vAlign w:val="center"/>
          </w:tcPr>
          <w:p w:rsidR="00D83D07" w:rsidRPr="00D83D07" w:rsidRDefault="00D83D07" w:rsidP="002D05E1">
            <w:pPr>
              <w:jc w:val="center"/>
              <w:rPr>
                <w:rFonts w:asciiTheme="minorHAnsi" w:hAnsiTheme="minorHAnsi" w:cstheme="minorHAnsi"/>
              </w:rPr>
            </w:pPr>
            <w:r w:rsidRPr="00D83D07">
              <w:rPr>
                <w:rFonts w:asciiTheme="minorHAnsi" w:hAnsiTheme="minorHAnsi" w:cstheme="minorHAnsi"/>
              </w:rPr>
              <w:t xml:space="preserve">Settore </w:t>
            </w:r>
            <w:hyperlink r:id="rId11" w:history="1">
              <w:r w:rsidRPr="00D83D07">
                <w:rPr>
                  <w:rFonts w:asciiTheme="minorHAnsi" w:hAnsiTheme="minorHAnsi" w:cstheme="minorHAnsi"/>
                </w:rPr>
                <w:t>Provveditorato, gare, contratti e manutenzione sedi</w:t>
              </w:r>
            </w:hyperlink>
          </w:p>
        </w:tc>
        <w:tc>
          <w:tcPr>
            <w:tcW w:w="1332" w:type="pct"/>
            <w:vAlign w:val="center"/>
          </w:tcPr>
          <w:p w:rsidR="00D83D07" w:rsidRPr="00D83D07" w:rsidRDefault="00D83D07" w:rsidP="007B0D03">
            <w:pPr>
              <w:jc w:val="both"/>
            </w:pPr>
            <w:r w:rsidRPr="00D83D07">
              <w:t>Maggiori entrate relative alla gestione contabile dei depositi cauzionali/contrattuali presso terzi</w:t>
            </w:r>
          </w:p>
        </w:tc>
      </w:tr>
      <w:tr w:rsidR="00D83D07" w:rsidRPr="00D83D07" w:rsidTr="008D049F">
        <w:trPr>
          <w:trHeight w:val="303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  <w:rPr>
                <w:b/>
                <w:i/>
              </w:rPr>
            </w:pPr>
            <w:r w:rsidRPr="00D83D07">
              <w:rPr>
                <w:b/>
                <w:i/>
              </w:rPr>
              <w:t>Totale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D83D07" w:rsidRPr="00D83D07" w:rsidRDefault="00D83D07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D83D07" w:rsidRPr="00D83D07" w:rsidRDefault="00D83D07" w:rsidP="006D5FE4">
            <w:pPr>
              <w:jc w:val="center"/>
              <w:rPr>
                <w:b/>
                <w:i/>
              </w:rPr>
            </w:pPr>
            <w:r w:rsidRPr="00D83D07">
              <w:rPr>
                <w:b/>
                <w:i/>
              </w:rPr>
              <w:t>270.000,00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D83D07" w:rsidRPr="00D83D07" w:rsidRDefault="00D83D07" w:rsidP="002D05E1">
            <w:pPr>
              <w:jc w:val="center"/>
            </w:pPr>
          </w:p>
        </w:tc>
        <w:tc>
          <w:tcPr>
            <w:tcW w:w="607" w:type="pct"/>
            <w:vAlign w:val="center"/>
          </w:tcPr>
          <w:p w:rsidR="00D83D07" w:rsidRPr="00D83D07" w:rsidRDefault="00D83D07" w:rsidP="002D05E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2" w:type="pct"/>
            <w:vAlign w:val="center"/>
          </w:tcPr>
          <w:p w:rsidR="00D83D07" w:rsidRPr="00D83D07" w:rsidRDefault="00D83D07" w:rsidP="0089230E">
            <w:pPr>
              <w:jc w:val="center"/>
            </w:pPr>
          </w:p>
        </w:tc>
      </w:tr>
    </w:tbl>
    <w:p w:rsidR="00E76149" w:rsidRPr="00D83D07" w:rsidRDefault="00E76149" w:rsidP="00511D93">
      <w:pPr>
        <w:shd w:val="clear" w:color="auto" w:fill="FFFFFF" w:themeFill="background1"/>
      </w:pPr>
    </w:p>
    <w:p w:rsidR="006A017A" w:rsidRPr="00D83D07" w:rsidRDefault="00511D93" w:rsidP="00511D93">
      <w:pPr>
        <w:shd w:val="clear" w:color="auto" w:fill="FFFFFF" w:themeFill="background1"/>
      </w:pPr>
      <w:r w:rsidRPr="00D83D07">
        <w:t xml:space="preserve">SPESA </w:t>
      </w:r>
      <w:r w:rsidR="006A017A" w:rsidRPr="00D83D07">
        <w:t>per partite di giro e c/terzi</w:t>
      </w:r>
    </w:p>
    <w:tbl>
      <w:tblPr>
        <w:tblW w:w="53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720"/>
        <w:gridCol w:w="998"/>
        <w:gridCol w:w="3045"/>
        <w:gridCol w:w="1329"/>
        <w:gridCol w:w="864"/>
        <w:gridCol w:w="864"/>
        <w:gridCol w:w="1804"/>
        <w:gridCol w:w="4141"/>
      </w:tblGrid>
      <w:tr w:rsidR="0030679D" w:rsidRPr="00D83D07" w:rsidTr="008D049F">
        <w:trPr>
          <w:trHeight w:val="945"/>
          <w:tblHeader/>
          <w:jc w:val="center"/>
        </w:trPr>
        <w:tc>
          <w:tcPr>
            <w:tcW w:w="302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Missione</w:t>
            </w:r>
          </w:p>
        </w:tc>
        <w:tc>
          <w:tcPr>
            <w:tcW w:w="380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Programma</w:t>
            </w:r>
          </w:p>
        </w:tc>
        <w:tc>
          <w:tcPr>
            <w:tcW w:w="226" w:type="pct"/>
            <w:shd w:val="clear" w:color="auto" w:fill="D9D9D9" w:themeFill="background1" w:themeFillShade="D9"/>
            <w:noWrap/>
            <w:vAlign w:val="center"/>
            <w:hideMark/>
          </w:tcPr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Titolo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E76149" w:rsidRPr="00D83D07" w:rsidRDefault="002040D8" w:rsidP="00EF1F72">
            <w:pPr>
              <w:jc w:val="center"/>
              <w:rPr>
                <w:b/>
              </w:rPr>
            </w:pPr>
            <w:r w:rsidRPr="00D83D07">
              <w:rPr>
                <w:b/>
              </w:rPr>
              <w:t>C</w:t>
            </w:r>
            <w:r w:rsidR="00E76149" w:rsidRPr="00D83D07">
              <w:rPr>
                <w:b/>
              </w:rPr>
              <w:t>apitolo</w:t>
            </w:r>
          </w:p>
        </w:tc>
        <w:tc>
          <w:tcPr>
            <w:tcW w:w="955" w:type="pct"/>
            <w:shd w:val="clear" w:color="auto" w:fill="D9D9D9" w:themeFill="background1" w:themeFillShade="D9"/>
            <w:vAlign w:val="center"/>
          </w:tcPr>
          <w:p w:rsidR="00E76149" w:rsidRPr="00D83D07" w:rsidRDefault="00E76149" w:rsidP="00EF1F72">
            <w:pPr>
              <w:jc w:val="center"/>
              <w:rPr>
                <w:b/>
              </w:rPr>
            </w:pPr>
            <w:r w:rsidRPr="00D83D07">
              <w:rPr>
                <w:b/>
              </w:rPr>
              <w:t>Descrizione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  <w:hideMark/>
          </w:tcPr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Bilancio 2019</w:t>
            </w:r>
          </w:p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(competenza</w:t>
            </w:r>
          </w:p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e cassa)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  <w:hideMark/>
          </w:tcPr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Bilancio 2020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  <w:hideMark/>
          </w:tcPr>
          <w:p w:rsidR="00E76149" w:rsidRPr="00D83D07" w:rsidRDefault="00E76149" w:rsidP="002D05E1">
            <w:pPr>
              <w:jc w:val="center"/>
              <w:rPr>
                <w:b/>
              </w:rPr>
            </w:pPr>
            <w:r w:rsidRPr="00D83D07">
              <w:rPr>
                <w:b/>
              </w:rPr>
              <w:t>Bilancio 2021</w:t>
            </w:r>
          </w:p>
        </w:tc>
        <w:tc>
          <w:tcPr>
            <w:tcW w:w="566" w:type="pct"/>
            <w:shd w:val="clear" w:color="auto" w:fill="D9D9D9" w:themeFill="background1" w:themeFillShade="D9"/>
            <w:vAlign w:val="center"/>
          </w:tcPr>
          <w:p w:rsidR="00E76149" w:rsidRPr="00D83D07" w:rsidRDefault="00E76149" w:rsidP="002D05E1">
            <w:pPr>
              <w:jc w:val="center"/>
              <w:rPr>
                <w:b/>
                <w:bCs/>
              </w:rPr>
            </w:pPr>
            <w:r w:rsidRPr="00D83D07">
              <w:rPr>
                <w:b/>
                <w:bCs/>
              </w:rPr>
              <w:t>Settore</w:t>
            </w:r>
          </w:p>
        </w:tc>
        <w:tc>
          <w:tcPr>
            <w:tcW w:w="1300" w:type="pct"/>
            <w:shd w:val="clear" w:color="auto" w:fill="D9D9D9" w:themeFill="background1" w:themeFillShade="D9"/>
            <w:vAlign w:val="center"/>
          </w:tcPr>
          <w:p w:rsidR="00E76149" w:rsidRPr="00D83D07" w:rsidRDefault="00E76149" w:rsidP="002D05E1">
            <w:pPr>
              <w:jc w:val="center"/>
              <w:rPr>
                <w:bCs/>
              </w:rPr>
            </w:pPr>
            <w:r w:rsidRPr="00D83D07">
              <w:rPr>
                <w:bCs/>
              </w:rPr>
              <w:t>Motivazione</w:t>
            </w:r>
          </w:p>
        </w:tc>
      </w:tr>
      <w:tr w:rsidR="0030679D" w:rsidRPr="00D83D07" w:rsidTr="008D049F">
        <w:trPr>
          <w:trHeight w:val="75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67469F" w:rsidRPr="00D83D07" w:rsidRDefault="0067469F" w:rsidP="002D05E1">
            <w:pPr>
              <w:jc w:val="center"/>
            </w:pPr>
            <w:r w:rsidRPr="00D83D07">
              <w:t>99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67469F" w:rsidRPr="00D83D07" w:rsidRDefault="0067469F" w:rsidP="002D05E1">
            <w:pPr>
              <w:jc w:val="center"/>
            </w:pPr>
            <w:r w:rsidRPr="00D83D07">
              <w:t>01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67469F" w:rsidRPr="00D83D07" w:rsidRDefault="0067469F" w:rsidP="002D05E1">
            <w:pPr>
              <w:jc w:val="center"/>
            </w:pPr>
            <w:r w:rsidRPr="00D83D07">
              <w:t>7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67469F" w:rsidRPr="00D83D07" w:rsidRDefault="0067469F" w:rsidP="00E76149">
            <w:pPr>
              <w:jc w:val="center"/>
            </w:pPr>
            <w:r w:rsidRPr="00D83D07">
              <w:t>70005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:rsidR="0067469F" w:rsidRPr="00D83D07" w:rsidRDefault="0067469F" w:rsidP="00E76149">
            <w:pPr>
              <w:jc w:val="center"/>
            </w:pPr>
            <w:r w:rsidRPr="00D83D07">
              <w:t>Versamento ritenute fiscali applicate su redditi consiglieri assessori. Organismi esterni e altri redditi assimilati a lavoro dipendente.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7469F" w:rsidRPr="00D83D07" w:rsidRDefault="00657FCC" w:rsidP="0067469F">
            <w:pPr>
              <w:jc w:val="center"/>
            </w:pPr>
            <w:r w:rsidRPr="00D83D07">
              <w:t>200</w:t>
            </w:r>
            <w:r w:rsidR="0067469F" w:rsidRPr="00D83D07">
              <w:t>.000,00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67469F" w:rsidRPr="00D83D07" w:rsidRDefault="0067469F" w:rsidP="002D05E1">
            <w:pPr>
              <w:jc w:val="center"/>
            </w:pPr>
            <w:r w:rsidRPr="00D83D07"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67469F" w:rsidRPr="00D83D07" w:rsidRDefault="0067469F" w:rsidP="002D05E1">
            <w:pPr>
              <w:jc w:val="center"/>
            </w:pPr>
            <w:r w:rsidRPr="00D83D07">
              <w:t>--</w:t>
            </w:r>
          </w:p>
        </w:tc>
        <w:tc>
          <w:tcPr>
            <w:tcW w:w="566" w:type="pct"/>
            <w:vMerge w:val="restart"/>
            <w:vAlign w:val="center"/>
          </w:tcPr>
          <w:p w:rsidR="0067469F" w:rsidRPr="00D83D07" w:rsidRDefault="0067469F" w:rsidP="002D05E1">
            <w:pPr>
              <w:jc w:val="center"/>
            </w:pPr>
            <w:r w:rsidRPr="00D83D07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300" w:type="pct"/>
            <w:vMerge w:val="restart"/>
            <w:vAlign w:val="center"/>
          </w:tcPr>
          <w:p w:rsidR="0067469F" w:rsidRPr="00D83D07" w:rsidRDefault="0067469F" w:rsidP="001B7BBA">
            <w:pPr>
              <w:jc w:val="both"/>
            </w:pPr>
            <w:r w:rsidRPr="00D83D07">
              <w:t xml:space="preserve">Adeguamento dello stanziamento conseguente alle maggiori ritenute su redditi assimilati a lavoro dipendente conseguente alla rideterminazione degli assegni vitalizi e alle maggiori ritenute gestione split </w:t>
            </w:r>
            <w:proofErr w:type="spellStart"/>
            <w:r w:rsidRPr="00D83D07">
              <w:t>payment</w:t>
            </w:r>
            <w:proofErr w:type="spellEnd"/>
            <w:r w:rsidRPr="00D83D07">
              <w:t xml:space="preserve"> entro il 31 dicembre 2019 . Integrazione del fondo dotazione economo per maggiori anticipi da erogare tramite conto corrente </w:t>
            </w:r>
          </w:p>
        </w:tc>
      </w:tr>
      <w:tr w:rsidR="0030679D" w:rsidRPr="00D83D07" w:rsidTr="008D049F">
        <w:trPr>
          <w:trHeight w:val="44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67469F" w:rsidRPr="00D83D07" w:rsidRDefault="0067469F" w:rsidP="00EF1F72">
            <w:pPr>
              <w:jc w:val="center"/>
            </w:pPr>
            <w:r w:rsidRPr="00D83D07">
              <w:t>99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67469F" w:rsidRPr="00D83D07" w:rsidRDefault="0067469F" w:rsidP="00EF1F72">
            <w:pPr>
              <w:jc w:val="center"/>
            </w:pPr>
            <w:r w:rsidRPr="00D83D07">
              <w:t>01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67469F" w:rsidRPr="00D83D07" w:rsidRDefault="0067469F" w:rsidP="00EF1F72">
            <w:pPr>
              <w:jc w:val="center"/>
            </w:pPr>
            <w:r w:rsidRPr="00D83D07">
              <w:t>7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67469F" w:rsidRPr="00D83D07" w:rsidRDefault="0067469F" w:rsidP="00E76149">
            <w:pPr>
              <w:jc w:val="center"/>
            </w:pPr>
            <w:r w:rsidRPr="00D83D07">
              <w:t>70007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:rsidR="0067469F" w:rsidRPr="00D83D07" w:rsidRDefault="0067469F" w:rsidP="00852A10">
            <w:pPr>
              <w:jc w:val="center"/>
            </w:pPr>
            <w:r w:rsidRPr="00D83D07">
              <w:t xml:space="preserve">Versamento ritenute erariali split </w:t>
            </w:r>
            <w:proofErr w:type="spellStart"/>
            <w:r w:rsidRPr="00D83D07">
              <w:t>payment</w:t>
            </w:r>
            <w:proofErr w:type="spellEnd"/>
            <w:r w:rsidRPr="00D83D07">
              <w:t xml:space="preserve"> art. 17 ter DPR 633/1972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67469F" w:rsidRPr="00D83D07" w:rsidRDefault="00657FCC" w:rsidP="00EF1F72">
            <w:pPr>
              <w:jc w:val="center"/>
            </w:pPr>
            <w:r w:rsidRPr="00D83D07">
              <w:t>6</w:t>
            </w:r>
            <w:r w:rsidR="00796094" w:rsidRPr="00D83D07">
              <w:t>2</w:t>
            </w:r>
            <w:r w:rsidR="0067469F" w:rsidRPr="00D83D07">
              <w:t>.000,00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67469F" w:rsidRPr="00D83D07" w:rsidRDefault="0067469F" w:rsidP="00EF1F72">
            <w:pPr>
              <w:jc w:val="center"/>
            </w:pPr>
            <w:r w:rsidRPr="00D83D07"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67469F" w:rsidRPr="00D83D07" w:rsidRDefault="0067469F" w:rsidP="00EF1F72">
            <w:pPr>
              <w:jc w:val="center"/>
            </w:pPr>
            <w:r w:rsidRPr="00D83D07">
              <w:t>--</w:t>
            </w:r>
          </w:p>
        </w:tc>
        <w:tc>
          <w:tcPr>
            <w:tcW w:w="566" w:type="pct"/>
            <w:vMerge/>
            <w:vAlign w:val="center"/>
          </w:tcPr>
          <w:p w:rsidR="0067469F" w:rsidRPr="00D83D07" w:rsidRDefault="0067469F" w:rsidP="00C673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pct"/>
            <w:vMerge/>
            <w:vAlign w:val="center"/>
          </w:tcPr>
          <w:p w:rsidR="0067469F" w:rsidRPr="00D83D07" w:rsidRDefault="0067469F" w:rsidP="007B0D03">
            <w:pPr>
              <w:jc w:val="both"/>
            </w:pPr>
          </w:p>
        </w:tc>
      </w:tr>
      <w:tr w:rsidR="0030679D" w:rsidRPr="007764F4" w:rsidTr="008D049F">
        <w:trPr>
          <w:trHeight w:val="44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67469F" w:rsidRPr="00D83D07" w:rsidRDefault="0067469F" w:rsidP="00F175E9">
            <w:pPr>
              <w:jc w:val="center"/>
            </w:pPr>
            <w:r w:rsidRPr="00D83D07">
              <w:t>99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67469F" w:rsidRPr="00D83D07" w:rsidRDefault="0067469F" w:rsidP="00F175E9">
            <w:pPr>
              <w:jc w:val="center"/>
            </w:pPr>
            <w:r w:rsidRPr="00D83D07">
              <w:t>01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67469F" w:rsidRPr="00D83D07" w:rsidRDefault="0067469F" w:rsidP="00F175E9">
            <w:pPr>
              <w:jc w:val="center"/>
            </w:pPr>
            <w:r w:rsidRPr="00D83D07">
              <w:t>7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67469F" w:rsidRPr="00D83D07" w:rsidRDefault="0067469F" w:rsidP="00E76149">
            <w:pPr>
              <w:jc w:val="center"/>
            </w:pPr>
            <w:r w:rsidRPr="00D83D07">
              <w:t>70026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:rsidR="0067469F" w:rsidRPr="00D83D07" w:rsidRDefault="0067469F" w:rsidP="00E76149">
            <w:pPr>
              <w:jc w:val="center"/>
            </w:pPr>
            <w:r w:rsidRPr="00D83D07">
              <w:t>Versamento all'economo del consiglio del fondo economale - conto corrente economale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67469F" w:rsidRPr="006A017A" w:rsidRDefault="00C67266" w:rsidP="006A017A">
            <w:pPr>
              <w:jc w:val="center"/>
            </w:pPr>
            <w:r w:rsidRPr="00D83D07">
              <w:t>3</w:t>
            </w:r>
            <w:r w:rsidR="0067469F" w:rsidRPr="00D83D07">
              <w:t>.000,00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67469F" w:rsidRPr="00AB7238" w:rsidRDefault="0067469F" w:rsidP="002D05E1">
            <w:pPr>
              <w:jc w:val="center"/>
            </w:pP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67469F" w:rsidRPr="00AB7238" w:rsidRDefault="0067469F" w:rsidP="002D05E1">
            <w:pPr>
              <w:jc w:val="center"/>
            </w:pPr>
          </w:p>
        </w:tc>
        <w:tc>
          <w:tcPr>
            <w:tcW w:w="566" w:type="pct"/>
            <w:vAlign w:val="center"/>
          </w:tcPr>
          <w:p w:rsidR="0067469F" w:rsidRDefault="0067469F" w:rsidP="00C673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pct"/>
            <w:vMerge/>
            <w:vAlign w:val="center"/>
          </w:tcPr>
          <w:p w:rsidR="0067469F" w:rsidRDefault="0067469F" w:rsidP="007B0D03">
            <w:pPr>
              <w:jc w:val="both"/>
            </w:pPr>
          </w:p>
        </w:tc>
      </w:tr>
      <w:tr w:rsidR="0030679D" w:rsidRPr="007764F4" w:rsidTr="008D049F">
        <w:trPr>
          <w:trHeight w:val="44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67469F" w:rsidRDefault="0067469F" w:rsidP="002D05E1">
            <w:pPr>
              <w:jc w:val="center"/>
            </w:pPr>
            <w:r>
              <w:lastRenderedPageBreak/>
              <w:t>99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67469F" w:rsidRDefault="0067469F" w:rsidP="002D05E1">
            <w:pPr>
              <w:jc w:val="center"/>
            </w:pPr>
            <w:r w:rsidRPr="0052068F">
              <w:t>01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67469F" w:rsidRDefault="0067469F" w:rsidP="002D05E1">
            <w:pPr>
              <w:jc w:val="center"/>
            </w:pPr>
            <w:r w:rsidRPr="00222E19">
              <w:t>7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67469F" w:rsidRPr="006A017A" w:rsidRDefault="0067469F" w:rsidP="00E76149">
            <w:pPr>
              <w:jc w:val="center"/>
            </w:pPr>
            <w:r>
              <w:t>70001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:rsidR="0067469F" w:rsidRPr="006A017A" w:rsidRDefault="0067469F" w:rsidP="00E76149">
            <w:pPr>
              <w:jc w:val="center"/>
            </w:pPr>
            <w:r>
              <w:t>Costituzione depositi cauzionali.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67469F" w:rsidRPr="006A017A" w:rsidRDefault="0067469F" w:rsidP="006A017A">
            <w:pPr>
              <w:jc w:val="center"/>
            </w:pPr>
            <w:r w:rsidRPr="006A017A">
              <w:t>5.000,00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67469F" w:rsidRPr="00AB7238" w:rsidRDefault="0067469F" w:rsidP="002D05E1">
            <w:pPr>
              <w:jc w:val="center"/>
            </w:pPr>
            <w:r w:rsidRPr="00AB7238"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67469F" w:rsidRPr="00AB7238" w:rsidRDefault="0067469F" w:rsidP="002D05E1">
            <w:pPr>
              <w:jc w:val="center"/>
            </w:pPr>
            <w:r w:rsidRPr="00AB7238">
              <w:t>--</w:t>
            </w:r>
          </w:p>
        </w:tc>
        <w:tc>
          <w:tcPr>
            <w:tcW w:w="566" w:type="pct"/>
            <w:vAlign w:val="center"/>
          </w:tcPr>
          <w:p w:rsidR="0067469F" w:rsidRPr="0077256A" w:rsidRDefault="0067469F" w:rsidP="00C673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Settore </w:t>
            </w:r>
            <w:hyperlink r:id="rId12" w:history="1">
              <w:r w:rsidRPr="006A017A">
                <w:rPr>
                  <w:rFonts w:asciiTheme="minorHAnsi" w:hAnsiTheme="minorHAnsi" w:cstheme="minorHAnsi"/>
                </w:rPr>
                <w:t>Provveditorato, gare, contratti e manutenzione sedi</w:t>
              </w:r>
            </w:hyperlink>
          </w:p>
        </w:tc>
        <w:tc>
          <w:tcPr>
            <w:tcW w:w="1300" w:type="pct"/>
            <w:vAlign w:val="center"/>
          </w:tcPr>
          <w:p w:rsidR="0067469F" w:rsidRDefault="0067469F" w:rsidP="007B0D03">
            <w:pPr>
              <w:jc w:val="both"/>
            </w:pPr>
            <w:r>
              <w:t>Maggiori spese relative alla gestione contabile dei depositi cauzionali/contrattuali presso terzi</w:t>
            </w:r>
          </w:p>
        </w:tc>
      </w:tr>
      <w:tr w:rsidR="0030679D" w:rsidRPr="007764F4" w:rsidTr="008D049F">
        <w:trPr>
          <w:trHeight w:val="44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67469F" w:rsidRDefault="0067469F" w:rsidP="00C673C0">
            <w:pPr>
              <w:jc w:val="center"/>
            </w:pP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67469F" w:rsidRPr="0052068F" w:rsidRDefault="0067469F" w:rsidP="00C673C0">
            <w:pPr>
              <w:jc w:val="center"/>
            </w:pP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67469F" w:rsidRPr="00222E19" w:rsidRDefault="0067469F" w:rsidP="00C673C0">
            <w:pPr>
              <w:jc w:val="center"/>
            </w:pPr>
            <w:r w:rsidRPr="00743946">
              <w:rPr>
                <w:b/>
                <w:i/>
              </w:rPr>
              <w:t>Totale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67469F" w:rsidRDefault="0067469F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955" w:type="pct"/>
            <w:shd w:val="clear" w:color="000000" w:fill="FFFFFF"/>
            <w:vAlign w:val="center"/>
          </w:tcPr>
          <w:p w:rsidR="0067469F" w:rsidRDefault="0067469F" w:rsidP="00E76149">
            <w:pPr>
              <w:jc w:val="center"/>
              <w:rPr>
                <w:b/>
                <w:i/>
              </w:rPr>
            </w:pPr>
          </w:p>
        </w:tc>
        <w:tc>
          <w:tcPr>
            <w:tcW w:w="417" w:type="pct"/>
            <w:shd w:val="clear" w:color="000000" w:fill="FFFFFF"/>
            <w:vAlign w:val="center"/>
          </w:tcPr>
          <w:p w:rsidR="0067469F" w:rsidRPr="00743946" w:rsidRDefault="0067469F" w:rsidP="006D5F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270</w:t>
            </w:r>
            <w:r w:rsidRPr="00743946">
              <w:rPr>
                <w:b/>
                <w:i/>
              </w:rPr>
              <w:t>.000,00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67469F" w:rsidRPr="00AB7238" w:rsidRDefault="0067469F" w:rsidP="00C673C0">
            <w:pPr>
              <w:jc w:val="center"/>
            </w:pP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67469F" w:rsidRPr="00AB7238" w:rsidRDefault="0067469F" w:rsidP="00C673C0">
            <w:pPr>
              <w:jc w:val="center"/>
            </w:pPr>
          </w:p>
        </w:tc>
        <w:tc>
          <w:tcPr>
            <w:tcW w:w="566" w:type="pct"/>
            <w:vAlign w:val="center"/>
          </w:tcPr>
          <w:p w:rsidR="0067469F" w:rsidRPr="0077256A" w:rsidRDefault="0067469F" w:rsidP="00C673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pct"/>
            <w:vAlign w:val="center"/>
          </w:tcPr>
          <w:p w:rsidR="0067469F" w:rsidRDefault="0067469F" w:rsidP="00511D93">
            <w:pPr>
              <w:jc w:val="both"/>
            </w:pPr>
          </w:p>
        </w:tc>
      </w:tr>
    </w:tbl>
    <w:p w:rsidR="00461330" w:rsidRDefault="00461330" w:rsidP="00CE2515">
      <w:pPr>
        <w:tabs>
          <w:tab w:val="left" w:pos="5670"/>
        </w:tabs>
        <w:spacing w:line="360" w:lineRule="auto"/>
        <w:jc w:val="both"/>
      </w:pPr>
    </w:p>
    <w:sectPr w:rsidR="00461330" w:rsidSect="008D049F">
      <w:footerReference w:type="default" r:id="rId13"/>
      <w:pgSz w:w="16840" w:h="11907" w:orient="landscape" w:code="9"/>
      <w:pgMar w:top="568" w:right="851" w:bottom="568" w:left="1134" w:header="709" w:footer="3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61" w:rsidRPr="004E27FB" w:rsidRDefault="00DE7C61">
      <w:r w:rsidRPr="004E27FB">
        <w:separator/>
      </w:r>
    </w:p>
  </w:endnote>
  <w:endnote w:type="continuationSeparator" w:id="0">
    <w:p w:rsidR="00DE7C61" w:rsidRPr="004E27FB" w:rsidRDefault="00DE7C61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A4" w:rsidRPr="006C080D" w:rsidRDefault="00EC6E25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0D343C">
      <w:rPr>
        <w:noProof/>
      </w:rPr>
      <w:t>2</w:t>
    </w:r>
    <w:r>
      <w:rPr>
        <w:noProof/>
      </w:rPr>
      <w:fldChar w:fldCharType="end"/>
    </w:r>
  </w:p>
  <w:p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61" w:rsidRPr="004E27FB" w:rsidRDefault="00DE7C61">
      <w:r w:rsidRPr="004E27FB">
        <w:separator/>
      </w:r>
    </w:p>
  </w:footnote>
  <w:footnote w:type="continuationSeparator" w:id="0">
    <w:p w:rsidR="00DE7C61" w:rsidRPr="004E27FB" w:rsidRDefault="00DE7C61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8BB50E4"/>
    <w:multiLevelType w:val="hybridMultilevel"/>
    <w:tmpl w:val="8EEEBC4E"/>
    <w:lvl w:ilvl="0" w:tplc="75EEA3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3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6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2"/>
  </w:num>
  <w:num w:numId="27">
    <w:abstractNumId w:val="17"/>
  </w:num>
  <w:num w:numId="28">
    <w:abstractNumId w:val="25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27"/>
  </w:num>
  <w:num w:numId="3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6DC9"/>
    <w:rsid w:val="000678C6"/>
    <w:rsid w:val="00067959"/>
    <w:rsid w:val="000700C0"/>
    <w:rsid w:val="00070168"/>
    <w:rsid w:val="00072027"/>
    <w:rsid w:val="0007213E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343C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13F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5146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4C98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A76E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B7BBA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0D8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A6B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477D3"/>
    <w:rsid w:val="00250660"/>
    <w:rsid w:val="0025134D"/>
    <w:rsid w:val="0025147C"/>
    <w:rsid w:val="002516B0"/>
    <w:rsid w:val="00251AD3"/>
    <w:rsid w:val="00251B93"/>
    <w:rsid w:val="002521F5"/>
    <w:rsid w:val="00252259"/>
    <w:rsid w:val="002528E4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14A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90C"/>
    <w:rsid w:val="002D7BA1"/>
    <w:rsid w:val="002D7DE0"/>
    <w:rsid w:val="002E0851"/>
    <w:rsid w:val="002E33ED"/>
    <w:rsid w:val="002E3B6D"/>
    <w:rsid w:val="002E6E1E"/>
    <w:rsid w:val="002E75F3"/>
    <w:rsid w:val="002E75F8"/>
    <w:rsid w:val="002E77F7"/>
    <w:rsid w:val="002F0961"/>
    <w:rsid w:val="002F1419"/>
    <w:rsid w:val="002F156F"/>
    <w:rsid w:val="002F163C"/>
    <w:rsid w:val="002F1EEA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79D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6A79"/>
    <w:rsid w:val="00327D79"/>
    <w:rsid w:val="00330774"/>
    <w:rsid w:val="00332272"/>
    <w:rsid w:val="00332305"/>
    <w:rsid w:val="003338A9"/>
    <w:rsid w:val="00333FEE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176D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DC5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B72F1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1330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4DF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3E1C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177"/>
    <w:rsid w:val="00503D3B"/>
    <w:rsid w:val="005048D5"/>
    <w:rsid w:val="005075C7"/>
    <w:rsid w:val="00510881"/>
    <w:rsid w:val="00511D93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574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57FCC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9F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17A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5FE4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5701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946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10B"/>
    <w:rsid w:val="00793E71"/>
    <w:rsid w:val="00796094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D03"/>
    <w:rsid w:val="007B0E6D"/>
    <w:rsid w:val="007B0F09"/>
    <w:rsid w:val="007B102E"/>
    <w:rsid w:val="007B1305"/>
    <w:rsid w:val="007B2044"/>
    <w:rsid w:val="007B3923"/>
    <w:rsid w:val="007B46D4"/>
    <w:rsid w:val="007B475C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69F"/>
    <w:rsid w:val="007F6800"/>
    <w:rsid w:val="007F77F0"/>
    <w:rsid w:val="007F77F2"/>
    <w:rsid w:val="007F7E3D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2A10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96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F9A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30E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49F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576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0A8C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3C3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3F64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4D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65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B41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12B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3A5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266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49A9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60F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3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08C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BAA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4DA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0E3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3D07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4595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9CC"/>
    <w:rsid w:val="00E72AAB"/>
    <w:rsid w:val="00E744C7"/>
    <w:rsid w:val="00E75601"/>
    <w:rsid w:val="00E758B1"/>
    <w:rsid w:val="00E75EF0"/>
    <w:rsid w:val="00E75FF9"/>
    <w:rsid w:val="00E76149"/>
    <w:rsid w:val="00E76522"/>
    <w:rsid w:val="00E76937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5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2B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4F1"/>
    <w:rsid w:val="00FA3A15"/>
    <w:rsid w:val="00FA447E"/>
    <w:rsid w:val="00FA4901"/>
    <w:rsid w:val="00FA522B"/>
    <w:rsid w:val="00FA5549"/>
    <w:rsid w:val="00FB0A23"/>
    <w:rsid w:val="00FB0EE3"/>
    <w:rsid w:val="00FB116E"/>
    <w:rsid w:val="00FB19E3"/>
    <w:rsid w:val="00FB2293"/>
    <w:rsid w:val="00FB2674"/>
    <w:rsid w:val="00FB289B"/>
    <w:rsid w:val="00FB28A8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5B2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iglio.regione.toscana.it/uffici/Strutture.aspx?cmu=059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iglio.regione.toscana.it/uffici/Strutture.aspx?cmu=0599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iglio.regione.toscana.it/uffici/Strutture.aspx?cmu=058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2039-2538-4BCB-9719-C3F4C2C3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</Pages>
  <Words>785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5803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143</cp:revision>
  <cp:lastPrinted>2019-10-09T13:02:00Z</cp:lastPrinted>
  <dcterms:created xsi:type="dcterms:W3CDTF">2018-09-10T08:11:00Z</dcterms:created>
  <dcterms:modified xsi:type="dcterms:W3CDTF">2019-10-21T12:51:00Z</dcterms:modified>
</cp:coreProperties>
</file>