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0E" w:rsidRDefault="00DA7C0E" w:rsidP="00DA7C0E">
      <w:pPr>
        <w:jc w:val="righ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  </w:t>
      </w:r>
    </w:p>
    <w:p w:rsidR="00DA7C0E" w:rsidRPr="00937A50" w:rsidRDefault="00DA7C0E" w:rsidP="00DA7C0E">
      <w:pPr>
        <w:jc w:val="right"/>
      </w:pPr>
      <w:r w:rsidRPr="006401E0">
        <w:t xml:space="preserve">Allegato </w:t>
      </w:r>
      <w:r>
        <w:t xml:space="preserve">  E</w:t>
      </w:r>
    </w:p>
    <w:p w:rsidR="00DA7C0E" w:rsidRDefault="00DA7C0E" w:rsidP="00DA7C0E">
      <w:pPr>
        <w:jc w:val="center"/>
        <w:rPr>
          <w:rFonts w:cs="Calibri"/>
        </w:rPr>
      </w:pPr>
    </w:p>
    <w:p w:rsidR="00DA7C0E" w:rsidRDefault="00DA7C0E" w:rsidP="00DA7C0E">
      <w:pPr>
        <w:jc w:val="center"/>
        <w:rPr>
          <w:rFonts w:cs="Calibri"/>
        </w:rPr>
      </w:pPr>
    </w:p>
    <w:p w:rsidR="00DA7C0E" w:rsidRPr="006401E0" w:rsidRDefault="00DA7C0E" w:rsidP="00DA7C0E">
      <w:pPr>
        <w:jc w:val="center"/>
        <w:rPr>
          <w:rFonts w:cs="Calibri"/>
        </w:rPr>
      </w:pPr>
      <w:r>
        <w:rPr>
          <w:rFonts w:cs="Calibri"/>
        </w:rPr>
        <w:t xml:space="preserve"> TABELLA RIEPILOGATIVA  </w:t>
      </w:r>
      <w:r w:rsidRPr="006401E0">
        <w:rPr>
          <w:rFonts w:cs="Calibri"/>
        </w:rPr>
        <w:t>201</w:t>
      </w:r>
      <w:r>
        <w:rPr>
          <w:rFonts w:cs="Calibri"/>
        </w:rPr>
        <w:t>9</w:t>
      </w:r>
      <w:r w:rsidRPr="006401E0">
        <w:rPr>
          <w:rFonts w:cs="Calibri"/>
        </w:rPr>
        <w:t>-20</w:t>
      </w:r>
      <w:r>
        <w:rPr>
          <w:rFonts w:cs="Calibri"/>
        </w:rPr>
        <w:t>20-2021</w:t>
      </w:r>
      <w:r w:rsidRPr="006401E0">
        <w:rPr>
          <w:rFonts w:cs="Calibri"/>
        </w:rPr>
        <w:t xml:space="preserve"> </w:t>
      </w:r>
    </w:p>
    <w:p w:rsidR="00DA7C0E" w:rsidRDefault="00DA7C0E" w:rsidP="00DA7C0E">
      <w:pPr>
        <w:jc w:val="center"/>
        <w:rPr>
          <w:rFonts w:cs="Calibri"/>
        </w:rPr>
      </w:pPr>
      <w:bookmarkStart w:id="0" w:name="OLE_LINK9"/>
      <w:bookmarkStart w:id="1" w:name="OLE_LINK10"/>
      <w:bookmarkStart w:id="2" w:name="OLE_LINK11"/>
    </w:p>
    <w:p w:rsidR="00DA7C0E" w:rsidRDefault="00DA7C0E" w:rsidP="00DA7C0E">
      <w:pPr>
        <w:jc w:val="center"/>
        <w:rPr>
          <w:rFonts w:cs="Calibri"/>
        </w:rPr>
      </w:pPr>
      <w:r>
        <w:rPr>
          <w:rFonts w:cs="Calibri"/>
        </w:rPr>
        <w:t xml:space="preserve">Spese al netto dei trasferimenti vincolati all’esercizio delle deleghe  Agcom. </w:t>
      </w:r>
      <w:r w:rsidRPr="00A15ADE">
        <w:rPr>
          <w:rFonts w:cs="Calibri"/>
        </w:rPr>
        <w:t xml:space="preserve"> Concorrono al tetto di spesa </w:t>
      </w:r>
      <w:r>
        <w:rPr>
          <w:rFonts w:cs="Calibri"/>
        </w:rPr>
        <w:t xml:space="preserve">solo </w:t>
      </w:r>
      <w:r w:rsidRPr="00A15ADE">
        <w:rPr>
          <w:rFonts w:cs="Calibri"/>
        </w:rPr>
        <w:t>le</w:t>
      </w:r>
      <w:r>
        <w:rPr>
          <w:rFonts w:cs="Calibri"/>
        </w:rPr>
        <w:t xml:space="preserve"> eventuali</w:t>
      </w:r>
      <w:r w:rsidRPr="00A15ADE">
        <w:rPr>
          <w:rFonts w:cs="Calibri"/>
        </w:rPr>
        <w:t xml:space="preserve"> spese in compartecipazione </w:t>
      </w:r>
      <w:r>
        <w:rPr>
          <w:rFonts w:cs="Calibri"/>
        </w:rPr>
        <w:t>Agcom/Consiglio</w:t>
      </w:r>
      <w:r w:rsidRPr="00A15ADE">
        <w:rPr>
          <w:rFonts w:cs="Calibri"/>
        </w:rPr>
        <w:t xml:space="preserve">  </w:t>
      </w:r>
    </w:p>
    <w:p w:rsidR="00DA7C0E" w:rsidRDefault="00DA7C0E" w:rsidP="00DA7C0E">
      <w:pPr>
        <w:jc w:val="center"/>
        <w:rPr>
          <w:rFonts w:cs="Calibri"/>
        </w:rPr>
      </w:pPr>
      <w:r>
        <w:rPr>
          <w:rFonts w:cs="Calibri"/>
        </w:rPr>
        <w:t xml:space="preserve">  </w:t>
      </w:r>
    </w:p>
    <w:p w:rsidR="00DA7C0E" w:rsidRPr="00A95EA9" w:rsidRDefault="00DA7C0E" w:rsidP="00DA7C0E">
      <w:pPr>
        <w:rPr>
          <w:rFonts w:cs="Calibri"/>
          <w:color w:val="FF0000"/>
          <w:sz w:val="24"/>
          <w:szCs w:val="24"/>
        </w:rPr>
      </w:pPr>
      <w:r>
        <w:rPr>
          <w:rFonts w:cs="Calibri"/>
          <w:sz w:val="36"/>
        </w:rPr>
        <w:t xml:space="preserve"> </w:t>
      </w:r>
      <w:r w:rsidR="00107860">
        <w:rPr>
          <w:rFonts w:cs="Calibri"/>
          <w:sz w:val="36"/>
        </w:rPr>
        <w:t xml:space="preserve"> </w:t>
      </w:r>
    </w:p>
    <w:tbl>
      <w:tblPr>
        <w:tblStyle w:val="Grigliatabella"/>
        <w:tblW w:w="5595" w:type="pct"/>
        <w:jc w:val="center"/>
        <w:tblLook w:val="04A0" w:firstRow="1" w:lastRow="0" w:firstColumn="1" w:lastColumn="0" w:noHBand="0" w:noVBand="1"/>
      </w:tblPr>
      <w:tblGrid>
        <w:gridCol w:w="2826"/>
        <w:gridCol w:w="1697"/>
        <w:gridCol w:w="1302"/>
        <w:gridCol w:w="1301"/>
        <w:gridCol w:w="1301"/>
        <w:gridCol w:w="1301"/>
        <w:gridCol w:w="1299"/>
      </w:tblGrid>
      <w:tr w:rsidR="00DA7C0E" w:rsidTr="00DA7C0E">
        <w:trPr>
          <w:jc w:val="center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Tipologia di spesa </w:t>
            </w:r>
            <w:r>
              <w:rPr>
                <w:rStyle w:val="Rimandonotaapidipagina"/>
                <w:rFonts w:cs="Calibri"/>
              </w:rPr>
              <w:footnoteReference w:id="1"/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Riferimento normativo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Limite di spesa originario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 xml:space="preserve">Limite di spesa rideterminato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Somme stanziate bilancio 2019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Somme stanziate bilancio 2020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Somme stanziate bilancio 2021</w:t>
            </w:r>
          </w:p>
        </w:tc>
      </w:tr>
      <w:tr w:rsidR="00DA7C0E" w:rsidTr="00DA7C0E">
        <w:trPr>
          <w:jc w:val="center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 xml:space="preserve">Spese per studi ed incarichi di consulenza 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art. 6 comma 7 legge 122/2010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10.280,00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10.440,00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10.440,00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10.440,00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10.440,00</w:t>
            </w:r>
          </w:p>
        </w:tc>
      </w:tr>
      <w:tr w:rsidR="00DA7C0E" w:rsidTr="001251E5">
        <w:trPr>
          <w:trHeight w:val="787"/>
          <w:jc w:val="center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Spese per relazioni pubbliche, convegni, mostre, pubblicità e spesa rappresentanza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 xml:space="preserve"> art. 6  comma 8 legge 122/2010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387.513,26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498.826,30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498.826,30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403.665,08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403.066,46</w:t>
            </w:r>
          </w:p>
        </w:tc>
      </w:tr>
      <w:tr w:rsidR="00DA7C0E" w:rsidTr="001251E5">
        <w:trPr>
          <w:trHeight w:val="559"/>
          <w:jc w:val="center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Spese per attività di formazione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art. 6 comma 13 legge 122/2010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45.592,00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8.880,00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8.880,00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8.880,00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8.880,00</w:t>
            </w:r>
          </w:p>
        </w:tc>
      </w:tr>
      <w:tr w:rsidR="00DA7C0E" w:rsidTr="00DA7C0E">
        <w:trPr>
          <w:jc w:val="center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P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DA7C0E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Spese per acquisto, manutenzione, noleggio ed esercizio di autovetture 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art. 5 DL 95/2012 (sentenza Corte costituzionale 43/2016)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56.073,57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40.810,00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40.810,00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34.250,00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35.450,00</w:t>
            </w:r>
          </w:p>
        </w:tc>
      </w:tr>
      <w:tr w:rsidR="00DA7C0E" w:rsidTr="001251E5">
        <w:trPr>
          <w:trHeight w:val="730"/>
          <w:jc w:val="center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 xml:space="preserve">Spese per missioni anche all’estero 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art. 6  comma 12 legge 122/2010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60.052,47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79.532,00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78.972,00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68.272,00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68.272,00</w:t>
            </w:r>
          </w:p>
        </w:tc>
      </w:tr>
      <w:tr w:rsidR="00DA7C0E" w:rsidTr="00DA7C0E">
        <w:trPr>
          <w:trHeight w:val="393"/>
          <w:jc w:val="center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1251E5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Spese per contratti di lavoro autonomo di natura occasionale, collaborazioni coordinate e continuative  e contratti diversi da rapporto di impiego a tempo indeterminato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Style w:val="Rimandonotaapidipagina"/>
                <w:rFonts w:eastAsia="Times New Roman"/>
                <w:color w:val="000000"/>
                <w:sz w:val="20"/>
                <w:szCs w:val="20"/>
                <w:lang w:eastAsia="it-IT"/>
              </w:rPr>
              <w:footnoteReference w:id="2"/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 xml:space="preserve">art. 9 comma 28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78.977,00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0,00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0,00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0,00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0,00</w:t>
            </w:r>
          </w:p>
        </w:tc>
      </w:tr>
      <w:tr w:rsidR="00DA7C0E" w:rsidTr="00DA7C0E">
        <w:trPr>
          <w:jc w:val="center"/>
        </w:trPr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638.488,30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instrText xml:space="preserve"> =SUM(ABOVE) </w:instrTex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it-IT"/>
              </w:rPr>
              <w:t>638.488,3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instrText xml:space="preserve"> =SUM(ABOVE) </w:instrTex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18"/>
                <w:szCs w:val="18"/>
                <w:lang w:eastAsia="it-IT"/>
              </w:rPr>
              <w:t>637.928,3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instrText xml:space="preserve"> =SUM(ABOVE) </w:instrTex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18"/>
                <w:szCs w:val="18"/>
                <w:lang w:eastAsia="it-IT"/>
              </w:rPr>
              <w:t>525.507,08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0E" w:rsidRDefault="00DA7C0E" w:rsidP="00A1765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instrText xml:space="preserve"> =SUM(ABOVE) </w:instrTex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18"/>
                <w:szCs w:val="18"/>
                <w:lang w:eastAsia="it-IT"/>
              </w:rPr>
              <w:t>526.108,46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end"/>
            </w:r>
          </w:p>
        </w:tc>
      </w:tr>
    </w:tbl>
    <w:p w:rsidR="00DA7C0E" w:rsidRDefault="00DA7C0E" w:rsidP="00DA7C0E">
      <w:pPr>
        <w:rPr>
          <w:rFonts w:cs="Calibri"/>
          <w:color w:val="FF0000"/>
          <w:sz w:val="24"/>
          <w:szCs w:val="24"/>
        </w:rPr>
      </w:pPr>
    </w:p>
    <w:bookmarkEnd w:id="0"/>
    <w:bookmarkEnd w:id="1"/>
    <w:bookmarkEnd w:id="2"/>
    <w:p w:rsidR="003274C6" w:rsidRDefault="003274C6" w:rsidP="003274C6">
      <w:pPr>
        <w:pStyle w:val="NormaleWeb"/>
        <w:shd w:val="clear" w:color="auto" w:fill="FFFFFF"/>
        <w:spacing w:before="0" w:beforeAutospacing="0" w:after="195" w:afterAutospacing="0"/>
        <w:jc w:val="both"/>
        <w:rPr>
          <w:rFonts w:ascii="Arial" w:hAnsi="Arial" w:cs="Arial"/>
          <w:color w:val="666666"/>
          <w:sz w:val="21"/>
          <w:szCs w:val="21"/>
        </w:rPr>
      </w:pPr>
    </w:p>
    <w:p w:rsidR="001251E5" w:rsidRDefault="001251E5" w:rsidP="003274C6">
      <w:pPr>
        <w:pStyle w:val="NormaleWeb"/>
        <w:shd w:val="clear" w:color="auto" w:fill="FFFFFF"/>
        <w:spacing w:before="0" w:beforeAutospacing="0" w:after="195" w:afterAutospacing="0"/>
        <w:jc w:val="both"/>
        <w:rPr>
          <w:rFonts w:ascii="Arial" w:hAnsi="Arial" w:cs="Arial"/>
          <w:color w:val="666666"/>
          <w:sz w:val="21"/>
          <w:szCs w:val="21"/>
        </w:rPr>
      </w:pPr>
    </w:p>
    <w:p w:rsidR="001251E5" w:rsidRDefault="001251E5" w:rsidP="003274C6">
      <w:pPr>
        <w:pStyle w:val="NormaleWeb"/>
        <w:shd w:val="clear" w:color="auto" w:fill="FFFFFF"/>
        <w:spacing w:before="0" w:beforeAutospacing="0" w:after="195" w:afterAutospacing="0"/>
        <w:jc w:val="both"/>
        <w:rPr>
          <w:rFonts w:ascii="Arial" w:hAnsi="Arial" w:cs="Arial"/>
          <w:color w:val="666666"/>
          <w:sz w:val="21"/>
          <w:szCs w:val="21"/>
        </w:rPr>
      </w:pPr>
    </w:p>
    <w:p w:rsidR="001251E5" w:rsidRDefault="001251E5" w:rsidP="003274C6">
      <w:pPr>
        <w:pStyle w:val="NormaleWeb"/>
        <w:shd w:val="clear" w:color="auto" w:fill="FFFFFF"/>
        <w:spacing w:before="0" w:beforeAutospacing="0" w:after="195" w:afterAutospacing="0"/>
        <w:jc w:val="both"/>
        <w:rPr>
          <w:rFonts w:ascii="Arial" w:hAnsi="Arial" w:cs="Arial"/>
          <w:color w:val="666666"/>
          <w:sz w:val="21"/>
          <w:szCs w:val="21"/>
        </w:rPr>
      </w:pPr>
      <w:bookmarkStart w:id="3" w:name="_GoBack"/>
      <w:bookmarkEnd w:id="3"/>
    </w:p>
    <w:sectPr w:rsidR="001251E5" w:rsidSect="00C65E65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EA2" w:rsidRDefault="00025EA2" w:rsidP="00A15ADE">
      <w:r>
        <w:separator/>
      </w:r>
    </w:p>
  </w:endnote>
  <w:endnote w:type="continuationSeparator" w:id="0">
    <w:p w:rsidR="00025EA2" w:rsidRDefault="00025EA2" w:rsidP="00A1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EA2" w:rsidRDefault="00025EA2" w:rsidP="00A15ADE">
      <w:r>
        <w:separator/>
      </w:r>
    </w:p>
  </w:footnote>
  <w:footnote w:type="continuationSeparator" w:id="0">
    <w:p w:rsidR="00025EA2" w:rsidRDefault="00025EA2" w:rsidP="00A15ADE">
      <w:r>
        <w:continuationSeparator/>
      </w:r>
    </w:p>
  </w:footnote>
  <w:footnote w:id="1">
    <w:p w:rsidR="00DA7C0E" w:rsidRDefault="00DA7C0E" w:rsidP="00DA7C0E">
      <w:pPr>
        <w:rPr>
          <w:sz w:val="20"/>
        </w:rPr>
      </w:pPr>
      <w:r>
        <w:rPr>
          <w:rStyle w:val="Rimandonotaapidipagina"/>
        </w:rPr>
        <w:footnoteRef/>
      </w:r>
      <w:r>
        <w:t xml:space="preserve"> </w:t>
      </w:r>
      <w:r w:rsidRPr="00A15ADE">
        <w:rPr>
          <w:sz w:val="20"/>
        </w:rPr>
        <w:t xml:space="preserve">Concorrono al tetto di spesa le eventuali spese </w:t>
      </w:r>
      <w:r>
        <w:rPr>
          <w:sz w:val="20"/>
        </w:rPr>
        <w:t xml:space="preserve">sostenute </w:t>
      </w:r>
      <w:r w:rsidRPr="00A15ADE">
        <w:rPr>
          <w:sz w:val="20"/>
        </w:rPr>
        <w:t>in compartecipazione Agcom/Consiglio</w:t>
      </w:r>
      <w:r>
        <w:rPr>
          <w:sz w:val="20"/>
        </w:rPr>
        <w:t>.</w:t>
      </w:r>
    </w:p>
    <w:p w:rsidR="00DA7C0E" w:rsidRPr="00DA7C0E" w:rsidRDefault="00DA7C0E" w:rsidP="00DA7C0E">
      <w:pPr>
        <w:rPr>
          <w:sz w:val="20"/>
        </w:rPr>
      </w:pPr>
      <w:r w:rsidRPr="00A15ADE">
        <w:rPr>
          <w:sz w:val="20"/>
        </w:rPr>
        <w:t>Le disposizioni di cui all'articolo 1, comma 5 del DL 101/2013, in materia di contenimento della spesa per incarichi di studio e consulenza, riferite agli anni 2014 e 2015, hanno cessato di avere efficacia e pertanto per tale tipologia di spesa opera a partire dal 2016 il limite del 20% della spesa sostenuta nel 2009, di cui all'arti</w:t>
      </w:r>
      <w:r>
        <w:rPr>
          <w:sz w:val="20"/>
        </w:rPr>
        <w:t xml:space="preserve">colo 6, comma 7 del DL 78/2010. </w:t>
      </w:r>
      <w:r w:rsidRPr="00DA7C0E">
        <w:rPr>
          <w:sz w:val="20"/>
        </w:rPr>
        <w:t xml:space="preserve">In via prudenziale si ritiene opportuno fare concorrere al tetto di spesa la previsione stanziata sui capitoli per spese sostenute con fondo economale, rinviando al consuntivo la determinazione della spesa effettiva. </w:t>
      </w:r>
    </w:p>
    <w:p w:rsidR="00DA7C0E" w:rsidRPr="000F1D9C" w:rsidRDefault="00DA7C0E" w:rsidP="00DA7C0E">
      <w:pPr>
        <w:pStyle w:val="Testonotaapidipagina"/>
        <w:rPr>
          <w:sz w:val="18"/>
        </w:rPr>
      </w:pPr>
      <w:r>
        <w:rPr>
          <w:szCs w:val="22"/>
        </w:rPr>
        <w:t xml:space="preserve"> </w:t>
      </w:r>
    </w:p>
  </w:footnote>
  <w:footnote w:id="2">
    <w:p w:rsidR="00DA7C0E" w:rsidRDefault="00DA7C0E" w:rsidP="00DA7C0E">
      <w:pPr>
        <w:rPr>
          <w:sz w:val="20"/>
        </w:rPr>
      </w:pPr>
      <w:r>
        <w:rPr>
          <w:rStyle w:val="Rimandonotaapidipagina"/>
        </w:rPr>
        <w:footnoteRef/>
      </w:r>
      <w:r>
        <w:t xml:space="preserve"> </w:t>
      </w:r>
      <w:r w:rsidRPr="003E40B9">
        <w:rPr>
          <w:sz w:val="20"/>
        </w:rPr>
        <w:t>Il decreto legislativo 25 maggio 2017, n. 75, come modificato dalla leg</w:t>
      </w:r>
      <w:r>
        <w:rPr>
          <w:sz w:val="20"/>
        </w:rPr>
        <w:t>ge 30 dicembre 2019, n. 145,</w:t>
      </w:r>
      <w:r w:rsidRPr="003E40B9">
        <w:rPr>
          <w:sz w:val="20"/>
        </w:rPr>
        <w:t xml:space="preserve"> ha prorogato al 1 luglio 2019</w:t>
      </w:r>
      <w:r w:rsidRPr="00571A1C">
        <w:rPr>
          <w:rFonts w:ascii="Times New Roman" w:hAnsi="Times New Roman"/>
          <w:sz w:val="24"/>
          <w:szCs w:val="24"/>
        </w:rPr>
        <w:t xml:space="preserve"> </w:t>
      </w:r>
      <w:r w:rsidRPr="000F1D9C">
        <w:rPr>
          <w:i/>
          <w:sz w:val="20"/>
        </w:rPr>
        <w:t xml:space="preserve"> </w:t>
      </w:r>
      <w:r w:rsidRPr="000F1D9C">
        <w:rPr>
          <w:sz w:val="20"/>
        </w:rPr>
        <w:t>l’entrata in vigore del divieto</w:t>
      </w:r>
      <w:r>
        <w:rPr>
          <w:sz w:val="20"/>
        </w:rPr>
        <w:t>,</w:t>
      </w:r>
      <w:r w:rsidRPr="000F1D9C">
        <w:rPr>
          <w:sz w:val="20"/>
        </w:rPr>
        <w:t xml:space="preserve"> di cui all’art. 7 comma 5-bis (introdotto dalla riforma Madia) del </w:t>
      </w:r>
      <w:proofErr w:type="spellStart"/>
      <w:r w:rsidRPr="000F1D9C">
        <w:rPr>
          <w:sz w:val="20"/>
        </w:rPr>
        <w:t>D.Lgs.</w:t>
      </w:r>
      <w:proofErr w:type="spellEnd"/>
      <w:r w:rsidRPr="000F1D9C">
        <w:rPr>
          <w:sz w:val="20"/>
        </w:rPr>
        <w:t xml:space="preserve"> n. 165/2001</w:t>
      </w:r>
      <w:r>
        <w:rPr>
          <w:sz w:val="20"/>
        </w:rPr>
        <w:t>,</w:t>
      </w:r>
      <w:r w:rsidRPr="000F1D9C">
        <w:rPr>
          <w:sz w:val="20"/>
        </w:rPr>
        <w:t xml:space="preserve"> di instaurare contratti di collaborazione con la Pubblica Amministrazione che si concretano in prestazioni di lavoro esclusivamente personali, continuative e le cui modalità di esecuzione siano organizzate dal committente anche con riferimento ai tempi e al luogo di lavoro.</w:t>
      </w:r>
    </w:p>
    <w:p w:rsidR="00DA7C0E" w:rsidRPr="00DA7C0E" w:rsidRDefault="00DA7C0E" w:rsidP="00DA7C0E">
      <w:pPr>
        <w:rPr>
          <w:sz w:val="20"/>
        </w:rPr>
      </w:pPr>
      <w:r w:rsidRPr="00EF2058">
        <w:rPr>
          <w:sz w:val="20"/>
        </w:rPr>
        <w:t>Per quanto riguarda infine i tirocini formativi a titolo oneroso che nel bilancio del Consiglio regionale 2019-2020-2021 hanno una previsione di spesa di euro 50.180,00 per l’anno 2019 e 50.440,00 per l’anno 2020 e 50.440,00 per l’anno 2021, non sono imputabili allo spazio  finanziario soggetto ai limiti dell’articolo 9 comma 28  in quanto già ricompresi nell’ambito del budget di competenza della Giunta regionale soggetto a tale limite.</w:t>
      </w:r>
    </w:p>
    <w:p w:rsidR="00DA7C0E" w:rsidRDefault="00DA7C0E" w:rsidP="00DA7C0E">
      <w:pPr>
        <w:rPr>
          <w:rFonts w:cs="Calibri"/>
          <w:sz w:val="36"/>
        </w:rPr>
      </w:pPr>
      <w:r>
        <w:rPr>
          <w:rFonts w:cs="Calibri"/>
          <w:sz w:val="36"/>
        </w:rPr>
        <w:t xml:space="preserve"> </w:t>
      </w:r>
    </w:p>
    <w:p w:rsidR="00DA7C0E" w:rsidRPr="00A15ADE" w:rsidRDefault="00DA7C0E" w:rsidP="00DA7C0E">
      <w:pPr>
        <w:rPr>
          <w:sz w:val="20"/>
        </w:rPr>
      </w:pPr>
    </w:p>
    <w:p w:rsidR="00DA7C0E" w:rsidRDefault="00DA7C0E" w:rsidP="00DA7C0E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F2B47"/>
    <w:multiLevelType w:val="hybridMultilevel"/>
    <w:tmpl w:val="93943044"/>
    <w:lvl w:ilvl="0" w:tplc="EF147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ACC"/>
    <w:rsid w:val="00004462"/>
    <w:rsid w:val="00025C07"/>
    <w:rsid w:val="00025EA2"/>
    <w:rsid w:val="000336AA"/>
    <w:rsid w:val="000C0CEA"/>
    <w:rsid w:val="000D06C7"/>
    <w:rsid w:val="000D51A0"/>
    <w:rsid w:val="000F1D9C"/>
    <w:rsid w:val="000F3BB5"/>
    <w:rsid w:val="00107860"/>
    <w:rsid w:val="001251E5"/>
    <w:rsid w:val="0013740A"/>
    <w:rsid w:val="001414BE"/>
    <w:rsid w:val="00165752"/>
    <w:rsid w:val="00167E4A"/>
    <w:rsid w:val="001A4A7B"/>
    <w:rsid w:val="001B634E"/>
    <w:rsid w:val="001B69B8"/>
    <w:rsid w:val="001E6793"/>
    <w:rsid w:val="00203338"/>
    <w:rsid w:val="00227008"/>
    <w:rsid w:val="0027792D"/>
    <w:rsid w:val="002A0F82"/>
    <w:rsid w:val="002C43C8"/>
    <w:rsid w:val="002D2759"/>
    <w:rsid w:val="002F3B9A"/>
    <w:rsid w:val="002F487B"/>
    <w:rsid w:val="00305628"/>
    <w:rsid w:val="00316B6F"/>
    <w:rsid w:val="00326040"/>
    <w:rsid w:val="003274C6"/>
    <w:rsid w:val="003344C5"/>
    <w:rsid w:val="00364D43"/>
    <w:rsid w:val="00373576"/>
    <w:rsid w:val="003A0633"/>
    <w:rsid w:val="003A1E16"/>
    <w:rsid w:val="003B4ACC"/>
    <w:rsid w:val="003C63B6"/>
    <w:rsid w:val="003D505F"/>
    <w:rsid w:val="003E40B9"/>
    <w:rsid w:val="00427534"/>
    <w:rsid w:val="0049116A"/>
    <w:rsid w:val="00496407"/>
    <w:rsid w:val="004B3C40"/>
    <w:rsid w:val="004D7D19"/>
    <w:rsid w:val="004F2A04"/>
    <w:rsid w:val="0051754D"/>
    <w:rsid w:val="00531BAC"/>
    <w:rsid w:val="005B603C"/>
    <w:rsid w:val="005B731C"/>
    <w:rsid w:val="005D1EEE"/>
    <w:rsid w:val="005D6A86"/>
    <w:rsid w:val="005D7D01"/>
    <w:rsid w:val="005E30DE"/>
    <w:rsid w:val="006036D4"/>
    <w:rsid w:val="006178DC"/>
    <w:rsid w:val="00627616"/>
    <w:rsid w:val="006401E0"/>
    <w:rsid w:val="006A7A71"/>
    <w:rsid w:val="006C5147"/>
    <w:rsid w:val="006D2821"/>
    <w:rsid w:val="006D43B9"/>
    <w:rsid w:val="006F11F1"/>
    <w:rsid w:val="0070147A"/>
    <w:rsid w:val="00726D27"/>
    <w:rsid w:val="00731555"/>
    <w:rsid w:val="00735E37"/>
    <w:rsid w:val="0075559E"/>
    <w:rsid w:val="007922DE"/>
    <w:rsid w:val="007D43B9"/>
    <w:rsid w:val="007D654B"/>
    <w:rsid w:val="007E6716"/>
    <w:rsid w:val="007F4ABB"/>
    <w:rsid w:val="008101F6"/>
    <w:rsid w:val="008755F9"/>
    <w:rsid w:val="00881DD1"/>
    <w:rsid w:val="00883180"/>
    <w:rsid w:val="00893737"/>
    <w:rsid w:val="008A44B0"/>
    <w:rsid w:val="008C681D"/>
    <w:rsid w:val="008D118E"/>
    <w:rsid w:val="008E0F0F"/>
    <w:rsid w:val="009016F5"/>
    <w:rsid w:val="00903DBE"/>
    <w:rsid w:val="00922D36"/>
    <w:rsid w:val="00931D4E"/>
    <w:rsid w:val="00934910"/>
    <w:rsid w:val="00937A50"/>
    <w:rsid w:val="00960680"/>
    <w:rsid w:val="00985234"/>
    <w:rsid w:val="009B72BD"/>
    <w:rsid w:val="009B7E6F"/>
    <w:rsid w:val="00A15ADE"/>
    <w:rsid w:val="00A46E53"/>
    <w:rsid w:val="00A561DE"/>
    <w:rsid w:val="00A6618A"/>
    <w:rsid w:val="00A7197E"/>
    <w:rsid w:val="00A934AC"/>
    <w:rsid w:val="00A95EA9"/>
    <w:rsid w:val="00AA6467"/>
    <w:rsid w:val="00AB3715"/>
    <w:rsid w:val="00AE12FC"/>
    <w:rsid w:val="00AF0651"/>
    <w:rsid w:val="00B05948"/>
    <w:rsid w:val="00B12A11"/>
    <w:rsid w:val="00B12A8E"/>
    <w:rsid w:val="00B203E9"/>
    <w:rsid w:val="00B34DA5"/>
    <w:rsid w:val="00B55482"/>
    <w:rsid w:val="00BB77E2"/>
    <w:rsid w:val="00C05D64"/>
    <w:rsid w:val="00C62BF0"/>
    <w:rsid w:val="00C65E65"/>
    <w:rsid w:val="00C67A34"/>
    <w:rsid w:val="00C7000F"/>
    <w:rsid w:val="00C97CB9"/>
    <w:rsid w:val="00CB1102"/>
    <w:rsid w:val="00CE3B88"/>
    <w:rsid w:val="00CE6437"/>
    <w:rsid w:val="00CF710D"/>
    <w:rsid w:val="00D00FB4"/>
    <w:rsid w:val="00D01DCF"/>
    <w:rsid w:val="00D05706"/>
    <w:rsid w:val="00D44BE8"/>
    <w:rsid w:val="00D96D63"/>
    <w:rsid w:val="00DA7C0E"/>
    <w:rsid w:val="00E07A43"/>
    <w:rsid w:val="00E1055F"/>
    <w:rsid w:val="00E458C5"/>
    <w:rsid w:val="00E64F0E"/>
    <w:rsid w:val="00E779C6"/>
    <w:rsid w:val="00E904AB"/>
    <w:rsid w:val="00EB14EB"/>
    <w:rsid w:val="00ED157F"/>
    <w:rsid w:val="00EF2058"/>
    <w:rsid w:val="00F069B8"/>
    <w:rsid w:val="00F1316B"/>
    <w:rsid w:val="00F163FD"/>
    <w:rsid w:val="00F2230E"/>
    <w:rsid w:val="00F304AD"/>
    <w:rsid w:val="00F54B77"/>
    <w:rsid w:val="00F85D56"/>
    <w:rsid w:val="00FD3E8B"/>
    <w:rsid w:val="00FE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4AC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72B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A15AD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15ADE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15ADE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D01DC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11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1102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97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274C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4AC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72B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A15AD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15ADE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15ADE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D01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EC8C6-28EC-41EC-90B4-03B8C90B5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Grassi Leonardo</dc:creator>
  <cp:lastModifiedBy>grassi</cp:lastModifiedBy>
  <cp:revision>77</cp:revision>
  <cp:lastPrinted>2019-11-14T10:30:00Z</cp:lastPrinted>
  <dcterms:created xsi:type="dcterms:W3CDTF">2018-06-19T08:44:00Z</dcterms:created>
  <dcterms:modified xsi:type="dcterms:W3CDTF">2019-12-04T12:55:00Z</dcterms:modified>
</cp:coreProperties>
</file>