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3A" w:rsidRPr="004D4AE1" w:rsidRDefault="00E0623A" w:rsidP="00E0623A">
      <w:pPr>
        <w:jc w:val="center"/>
        <w:rPr>
          <w:b/>
        </w:rPr>
      </w:pPr>
      <w:r w:rsidRPr="004D4AE1">
        <w:rPr>
          <w:b/>
        </w:rPr>
        <w:t xml:space="preserve">BILANCIO PREVENTIVO </w:t>
      </w:r>
      <w:r w:rsidR="00FE0B3D">
        <w:rPr>
          <w:b/>
        </w:rPr>
        <w:t xml:space="preserve"> </w:t>
      </w:r>
    </w:p>
    <w:p w:rsidR="006A00A8" w:rsidRDefault="006A00A8" w:rsidP="00595BE3">
      <w:pPr>
        <w:jc w:val="center"/>
      </w:pPr>
    </w:p>
    <w:p w:rsidR="00FB015C" w:rsidRPr="004D4AE1" w:rsidRDefault="00FB015C" w:rsidP="00595BE3">
      <w:pPr>
        <w:jc w:val="center"/>
      </w:pPr>
      <w:r w:rsidRPr="004D4AE1">
        <w:t>(</w:t>
      </w:r>
      <w:r w:rsidRPr="00595BE3">
        <w:t>Documento di sintesi del bilancio di previsione</w:t>
      </w:r>
      <w:r w:rsidRPr="004D4AE1">
        <w:t xml:space="preserve"> del Consiglio regionale </w:t>
      </w:r>
      <w:r w:rsidR="00595BE3">
        <w:t>per il triennio 20</w:t>
      </w:r>
      <w:r w:rsidR="006C4A57">
        <w:t>2</w:t>
      </w:r>
      <w:r w:rsidR="00930E08">
        <w:t>1</w:t>
      </w:r>
      <w:r w:rsidR="00595BE3">
        <w:t>-20</w:t>
      </w:r>
      <w:r w:rsidR="006C4A57">
        <w:t>2</w:t>
      </w:r>
      <w:r w:rsidR="00930E08">
        <w:t>2</w:t>
      </w:r>
      <w:r w:rsidR="00595BE3">
        <w:t>-20</w:t>
      </w:r>
      <w:r w:rsidR="00070A26">
        <w:t>2</w:t>
      </w:r>
      <w:r w:rsidR="00930E08">
        <w:t>3</w:t>
      </w:r>
      <w:r w:rsidR="00595BE3">
        <w:t xml:space="preserve"> – art. 29 c.1 d.lgs</w:t>
      </w:r>
      <w:r w:rsidR="001D031E">
        <w:t>.</w:t>
      </w:r>
      <w:r w:rsidR="00595BE3">
        <w:t xml:space="preserve"> 33/2013</w:t>
      </w:r>
      <w:r w:rsidR="004D4AE1" w:rsidRPr="004D4AE1">
        <w:t>)</w:t>
      </w:r>
    </w:p>
    <w:p w:rsidR="00081288" w:rsidRPr="00081288" w:rsidRDefault="00081288" w:rsidP="00E0623A">
      <w:pPr>
        <w:pStyle w:val="intestazione0"/>
        <w:shd w:val="clear" w:color="auto" w:fill="FFFFFF"/>
        <w:spacing w:before="0" w:beforeAutospacing="0" w:after="0" w:afterAutospacing="0"/>
        <w:jc w:val="both"/>
        <w:rPr>
          <w:b/>
          <w:bCs/>
          <w:sz w:val="6"/>
          <w:szCs w:val="6"/>
        </w:rPr>
      </w:pPr>
    </w:p>
    <w:p w:rsidR="00DE710D" w:rsidRDefault="00DE710D" w:rsidP="00E0623A">
      <w:pPr>
        <w:pStyle w:val="intestazione0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E0623A" w:rsidRDefault="00E0623A" w:rsidP="00E0623A">
      <w:pPr>
        <w:pStyle w:val="intestazione0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F150C">
        <w:rPr>
          <w:b/>
          <w:bCs/>
        </w:rPr>
        <w:t xml:space="preserve">Bilancio </w:t>
      </w:r>
      <w:r>
        <w:rPr>
          <w:b/>
          <w:bCs/>
        </w:rPr>
        <w:t>del Consiglio</w:t>
      </w:r>
    </w:p>
    <w:p w:rsidR="00E0623A" w:rsidRPr="00D8395A" w:rsidRDefault="00E0623A" w:rsidP="00E0623A">
      <w:pPr>
        <w:pStyle w:val="intestazione0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F150C">
        <w:rPr>
          <w:shd w:val="clear" w:color="auto" w:fill="FFFFFF"/>
        </w:rPr>
        <w:br/>
        <w:t>È il documento contabile che indica le entrate e le spese che saranno acquisite ed erogate dal Consiglio regionale</w:t>
      </w:r>
      <w:r>
        <w:rPr>
          <w:shd w:val="clear" w:color="auto" w:fill="FFFFFF"/>
        </w:rPr>
        <w:t xml:space="preserve"> durante l’esercizio</w:t>
      </w:r>
      <w:r w:rsidRPr="008F150C">
        <w:rPr>
          <w:shd w:val="clear" w:color="auto" w:fill="FFFFFF"/>
        </w:rPr>
        <w:t xml:space="preserve"> finanziario</w:t>
      </w:r>
      <w:r w:rsidR="001D031E">
        <w:rPr>
          <w:shd w:val="clear" w:color="auto" w:fill="FFFFFF"/>
        </w:rPr>
        <w:t xml:space="preserve"> di riferimento</w:t>
      </w:r>
      <w:r w:rsidRPr="00E21C22">
        <w:rPr>
          <w:shd w:val="clear" w:color="auto" w:fill="FFFFFF"/>
        </w:rPr>
        <w:t xml:space="preserve">, in base a norme di legge e secondo le linee programmatiche stabilite dall’Ufficio di </w:t>
      </w:r>
      <w:r w:rsidR="00DD1D52">
        <w:rPr>
          <w:shd w:val="clear" w:color="auto" w:fill="FFFFFF"/>
        </w:rPr>
        <w:t>P</w:t>
      </w:r>
      <w:r w:rsidRPr="00E21C22">
        <w:rPr>
          <w:shd w:val="clear" w:color="auto" w:fill="FFFFFF"/>
        </w:rPr>
        <w:t>residenza.</w:t>
      </w:r>
      <w:r w:rsidR="001D031E">
        <w:rPr>
          <w:shd w:val="clear" w:color="auto" w:fill="FFFFFF"/>
        </w:rPr>
        <w:t xml:space="preserve"> </w:t>
      </w:r>
    </w:p>
    <w:p w:rsidR="00561E7A" w:rsidRDefault="00561E7A" w:rsidP="001D031E">
      <w:pPr>
        <w:pStyle w:val="intestazione0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DD1D52" w:rsidRPr="001D031E" w:rsidRDefault="001D031E" w:rsidP="001D031E">
      <w:pPr>
        <w:pStyle w:val="intestazione0"/>
        <w:shd w:val="clear" w:color="auto" w:fill="FFFFFF"/>
        <w:spacing w:before="0" w:beforeAutospacing="0" w:after="0" w:afterAutospacing="0"/>
        <w:jc w:val="both"/>
      </w:pPr>
      <w:r>
        <w:rPr>
          <w:shd w:val="clear" w:color="auto" w:fill="FFFFFF"/>
        </w:rPr>
        <w:t xml:space="preserve">Il bilancio </w:t>
      </w:r>
      <w:r w:rsidR="00E0623A" w:rsidRPr="00E21C22">
        <w:rPr>
          <w:shd w:val="clear" w:color="auto" w:fill="FFFFFF"/>
        </w:rPr>
        <w:t>rappresenta il quadro delle risorse che il Consiglio regionale prevede di acquisire e di impiegare nel periodo considerato</w:t>
      </w:r>
      <w:r w:rsidR="00E0623A">
        <w:rPr>
          <w:shd w:val="clear" w:color="auto" w:fill="FFFFFF"/>
        </w:rPr>
        <w:t>.</w:t>
      </w:r>
    </w:p>
    <w:p w:rsidR="00561E7A" w:rsidRDefault="00561E7A" w:rsidP="00E0623A">
      <w:pPr>
        <w:shd w:val="clear" w:color="auto" w:fill="FFFFFF"/>
        <w:jc w:val="both"/>
        <w:rPr>
          <w:shd w:val="clear" w:color="auto" w:fill="FFFFFF"/>
        </w:rPr>
      </w:pPr>
    </w:p>
    <w:p w:rsidR="00E0623A" w:rsidRPr="00696648" w:rsidRDefault="00E0623A" w:rsidP="00E0623A">
      <w:p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Ai</w:t>
      </w:r>
      <w:r w:rsidRPr="008F150C">
        <w:rPr>
          <w:shd w:val="clear" w:color="auto" w:fill="FFFFFF"/>
        </w:rPr>
        <w:t xml:space="preserve"> </w:t>
      </w:r>
      <w:r>
        <w:rPr>
          <w:shd w:val="clear" w:color="auto" w:fill="FFFFFF"/>
        </w:rPr>
        <w:t>sensi dell’articolo 28 dello Statuto e della l</w:t>
      </w:r>
      <w:r w:rsidRPr="008F150C">
        <w:rPr>
          <w:shd w:val="clear" w:color="auto" w:fill="FFFFFF"/>
        </w:rPr>
        <w:t>egge regionale</w:t>
      </w:r>
      <w:r>
        <w:rPr>
          <w:shd w:val="clear" w:color="auto" w:fill="FFFFFF"/>
        </w:rPr>
        <w:t xml:space="preserve"> della Toscana del</w:t>
      </w:r>
      <w:r w:rsidRPr="008F150C">
        <w:rPr>
          <w:shd w:val="clear" w:color="auto" w:fill="FFFFFF"/>
        </w:rPr>
        <w:t xml:space="preserve"> 5 febbraio 2008, n. 4 (Autonomia dell'Assemblea legislativa </w:t>
      </w:r>
      <w:r w:rsidRPr="00696648">
        <w:rPr>
          <w:shd w:val="clear" w:color="auto" w:fill="FFFFFF"/>
        </w:rPr>
        <w:t>regionale), il Consiglio gode autonomia</w:t>
      </w:r>
      <w:r w:rsidRPr="008F150C">
        <w:rPr>
          <w:shd w:val="clear" w:color="auto" w:fill="FFFFFF"/>
        </w:rPr>
        <w:t xml:space="preserve"> contabile</w:t>
      </w:r>
      <w:r>
        <w:rPr>
          <w:shd w:val="clear" w:color="auto" w:fill="FFFFFF"/>
        </w:rPr>
        <w:t>, di bilancio,</w:t>
      </w:r>
      <w:r w:rsidRPr="008F150C">
        <w:rPr>
          <w:shd w:val="clear" w:color="auto" w:fill="FFFFFF"/>
        </w:rPr>
        <w:t xml:space="preserve"> funzionale</w:t>
      </w:r>
      <w:r>
        <w:rPr>
          <w:shd w:val="clear" w:color="auto" w:fill="FFFFFF"/>
        </w:rPr>
        <w:t xml:space="preserve"> ed organizzativa</w:t>
      </w:r>
      <w:r w:rsidR="00DD1D52">
        <w:rPr>
          <w:shd w:val="clear" w:color="auto" w:fill="FFFFFF"/>
        </w:rPr>
        <w:t>,</w:t>
      </w:r>
      <w:r w:rsidRPr="008F150C">
        <w:rPr>
          <w:shd w:val="clear" w:color="auto" w:fill="FFFFFF"/>
        </w:rPr>
        <w:t xml:space="preserve"> diretta ad assicurar</w:t>
      </w:r>
      <w:r>
        <w:rPr>
          <w:shd w:val="clear" w:color="auto" w:fill="FFFFFF"/>
        </w:rPr>
        <w:t xml:space="preserve">e allo stesso la possibilità di </w:t>
      </w:r>
      <w:r w:rsidRPr="008F150C">
        <w:rPr>
          <w:shd w:val="clear" w:color="auto" w:fill="FFFFFF"/>
        </w:rPr>
        <w:t>dotarsi di proprie strutture necessarie per il suo normale funzionamento.</w:t>
      </w:r>
      <w:r>
        <w:rPr>
          <w:shd w:val="clear" w:color="auto" w:fill="FFFFFF"/>
        </w:rPr>
        <w:t xml:space="preserve"> Il Consiglio amministra in modo autonomo le proprie risorse finanziarie.</w:t>
      </w:r>
    </w:p>
    <w:p w:rsidR="00561E7A" w:rsidRDefault="00E0623A" w:rsidP="00561E7A">
      <w:pPr>
        <w:shd w:val="clear" w:color="auto" w:fill="FFFFFF"/>
        <w:ind w:hanging="225"/>
        <w:jc w:val="both"/>
        <w:rPr>
          <w:shd w:val="clear" w:color="auto" w:fill="FFFFFF"/>
        </w:rPr>
      </w:pPr>
      <w:r w:rsidRPr="008F150C">
        <w:rPr>
          <w:shd w:val="clear" w:color="auto" w:fill="FFFFFF"/>
        </w:rPr>
        <w:t xml:space="preserve">   </w:t>
      </w:r>
    </w:p>
    <w:p w:rsidR="00561E7A" w:rsidRDefault="00E0623A" w:rsidP="00561E7A">
      <w:pPr>
        <w:shd w:val="clear" w:color="auto" w:fill="FFFFFF"/>
        <w:jc w:val="both"/>
        <w:rPr>
          <w:shd w:val="clear" w:color="auto" w:fill="FFFFFF"/>
        </w:rPr>
      </w:pPr>
      <w:r w:rsidRPr="00B31AB9">
        <w:rPr>
          <w:shd w:val="clear" w:color="auto" w:fill="FFFFFF"/>
        </w:rPr>
        <w:t>Il bilancio annuale di previsione del Consiglio regionale è approvato dal Consiglio regionale su prop</w:t>
      </w:r>
      <w:r w:rsidR="001D031E">
        <w:rPr>
          <w:shd w:val="clear" w:color="auto" w:fill="FFFFFF"/>
        </w:rPr>
        <w:t>osta dell’Ufficio di presidenza.</w:t>
      </w:r>
      <w:r>
        <w:rPr>
          <w:shd w:val="clear" w:color="auto" w:fill="FFFFFF"/>
        </w:rPr>
        <w:t xml:space="preserve"> </w:t>
      </w:r>
      <w:r w:rsidR="00DD1D52">
        <w:rPr>
          <w:shd w:val="clear" w:color="auto" w:fill="FFFFFF"/>
        </w:rPr>
        <w:t>I</w:t>
      </w:r>
      <w:r w:rsidRPr="009D6B6A">
        <w:rPr>
          <w:shd w:val="clear" w:color="auto" w:fill="FFFFFF"/>
        </w:rPr>
        <w:t>mmediatamente dopo la sua approvazione</w:t>
      </w:r>
      <w:r>
        <w:rPr>
          <w:shd w:val="clear" w:color="auto" w:fill="FFFFFF"/>
        </w:rPr>
        <w:t xml:space="preserve"> da parte dell’Ufficio di presidenza</w:t>
      </w:r>
      <w:r w:rsidRPr="009D6B6A">
        <w:rPr>
          <w:shd w:val="clear" w:color="auto" w:fill="FFFFFF"/>
        </w:rPr>
        <w:t>, il bilancio di previsione del Consiglio regionale è comunicato dal Presidente del Consiglio regionale al Presidente della Giunta regionale, ai fini dell’iscrizione nel bilancio della Regione dell’ammontare del trasferimento.</w:t>
      </w:r>
    </w:p>
    <w:p w:rsidR="00561E7A" w:rsidRDefault="00561E7A" w:rsidP="00561E7A">
      <w:pPr>
        <w:shd w:val="clear" w:color="auto" w:fill="FFFFFF"/>
        <w:jc w:val="both"/>
        <w:rPr>
          <w:shd w:val="clear" w:color="auto" w:fill="FFFFFF"/>
        </w:rPr>
      </w:pPr>
    </w:p>
    <w:p w:rsidR="00561E7A" w:rsidRDefault="00561E7A" w:rsidP="00561E7A">
      <w:pPr>
        <w:shd w:val="clear" w:color="auto" w:fill="FFFFFF"/>
        <w:jc w:val="both"/>
      </w:pPr>
      <w:r>
        <w:rPr>
          <w:shd w:val="clear" w:color="auto" w:fill="FFFFFF"/>
        </w:rPr>
        <w:t>Nelle tabelle seguenti sono</w:t>
      </w:r>
      <w:r w:rsidRPr="00561E7A">
        <w:rPr>
          <w:shd w:val="clear" w:color="auto" w:fill="FFFFFF"/>
        </w:rPr>
        <w:t xml:space="preserve"> riepilogate, </w:t>
      </w:r>
      <w:r w:rsidRPr="00561E7A">
        <w:t xml:space="preserve">in forma </w:t>
      </w:r>
      <w:r>
        <w:t xml:space="preserve">sintetica e </w:t>
      </w:r>
      <w:r w:rsidRPr="00561E7A">
        <w:t>aggregata per tipologie</w:t>
      </w:r>
      <w:r w:rsidRPr="00561E7A">
        <w:rPr>
          <w:shd w:val="clear" w:color="auto" w:fill="FFFFFF"/>
        </w:rPr>
        <w:t> omogenee </w:t>
      </w:r>
      <w:r w:rsidRPr="00561E7A">
        <w:t xml:space="preserve">di spesa e di entrata le previsioni </w:t>
      </w:r>
      <w:r w:rsidR="00DD74DC">
        <w:t>di bilancio</w:t>
      </w:r>
      <w:r w:rsidRPr="00561E7A">
        <w:t xml:space="preserve"> </w:t>
      </w:r>
      <w:r>
        <w:t>per il triennio 20</w:t>
      </w:r>
      <w:r w:rsidR="006C4A57">
        <w:t>2</w:t>
      </w:r>
      <w:r w:rsidR="00930E08">
        <w:t>1</w:t>
      </w:r>
      <w:r>
        <w:t>-20</w:t>
      </w:r>
      <w:r w:rsidR="006C4A57">
        <w:t>2</w:t>
      </w:r>
      <w:r w:rsidR="00930E08">
        <w:t>2</w:t>
      </w:r>
      <w:r>
        <w:t>-20</w:t>
      </w:r>
      <w:r w:rsidR="00070A26">
        <w:t>2</w:t>
      </w:r>
      <w:r w:rsidR="00930E08">
        <w:t>3</w:t>
      </w:r>
      <w:r w:rsidR="00DD74DC">
        <w:t xml:space="preserve"> </w:t>
      </w:r>
      <w:r w:rsidR="00FE0B3D">
        <w:t>approvato con deliberazione Consiliare</w:t>
      </w:r>
      <w:r w:rsidR="00471CA5">
        <w:t xml:space="preserve"> n. </w:t>
      </w:r>
      <w:r w:rsidR="00930E08">
        <w:t>77</w:t>
      </w:r>
      <w:r w:rsidR="00FE0B3D">
        <w:t xml:space="preserve"> del 20</w:t>
      </w:r>
      <w:r w:rsidR="00930E08">
        <w:t>20</w:t>
      </w:r>
      <w:r w:rsidR="00DD74DC">
        <w:t>.</w:t>
      </w:r>
    </w:p>
    <w:p w:rsidR="004E2193" w:rsidRDefault="004E2193" w:rsidP="00561E7A">
      <w:pPr>
        <w:shd w:val="clear" w:color="auto" w:fill="FFFFFF"/>
        <w:jc w:val="both"/>
      </w:pPr>
    </w:p>
    <w:p w:rsidR="004E2193" w:rsidRPr="004E2193" w:rsidRDefault="004608A9" w:rsidP="004608A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ENTRATA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61"/>
        <w:gridCol w:w="5286"/>
        <w:gridCol w:w="1859"/>
        <w:gridCol w:w="1859"/>
        <w:gridCol w:w="1859"/>
      </w:tblGrid>
      <w:tr w:rsidR="004E2193" w:rsidRPr="004E2193" w:rsidTr="004E2193">
        <w:trPr>
          <w:trHeight w:val="255"/>
          <w:tblHeader/>
        </w:trPr>
        <w:tc>
          <w:tcPr>
            <w:tcW w:w="1409" w:type="pct"/>
            <w:shd w:val="clear" w:color="auto" w:fill="auto"/>
            <w:noWrap/>
            <w:vAlign w:val="center"/>
            <w:hideMark/>
          </w:tcPr>
          <w:p w:rsidR="004E2193" w:rsidRPr="004E2193" w:rsidRDefault="004E2193" w:rsidP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Titolo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4E2193" w:rsidRPr="004E2193" w:rsidRDefault="004E2193" w:rsidP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Macroaggregati di ENTRATA</w:t>
            </w: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PREVISIONI DELL'ANNO</w:t>
            </w:r>
            <w:r w:rsidRPr="004E2193">
              <w:rPr>
                <w:rFonts w:ascii="Arial" w:hAnsi="Arial" w:cs="Arial"/>
                <w:sz w:val="22"/>
                <w:szCs w:val="22"/>
              </w:rPr>
              <w:br/>
              <w:t>202</w:t>
            </w:r>
            <w:r w:rsidR="00E166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PREVISIONI DELL'ANNO</w:t>
            </w:r>
            <w:r w:rsidRPr="004E2193">
              <w:rPr>
                <w:rFonts w:ascii="Arial" w:hAnsi="Arial" w:cs="Arial"/>
                <w:sz w:val="22"/>
                <w:szCs w:val="22"/>
              </w:rPr>
              <w:br/>
              <w:t>202</w:t>
            </w:r>
            <w:r w:rsidR="00E166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PREVISIONI DELL'ANNO</w:t>
            </w:r>
            <w:r w:rsidRPr="004E2193">
              <w:rPr>
                <w:rFonts w:ascii="Arial" w:hAnsi="Arial" w:cs="Arial"/>
                <w:sz w:val="22"/>
                <w:szCs w:val="22"/>
              </w:rPr>
              <w:br/>
              <w:t>202</w:t>
            </w:r>
            <w:r w:rsidR="00E166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0:Avanzo di amministrazione e Fondo di Cassa</w:t>
            </w: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99901:Avanzo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99916:Fondo cassa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99917:Fpv capitale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183.000,00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99918:Fpv corrente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723,42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3156" w:type="pct"/>
            <w:gridSpan w:val="2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 xml:space="preserve">0:Avanzo di amministrazione </w:t>
            </w:r>
            <w:r>
              <w:rPr>
                <w:rFonts w:ascii="Arial" w:hAnsi="Arial" w:cs="Arial"/>
                <w:sz w:val="22"/>
                <w:szCs w:val="22"/>
              </w:rPr>
              <w:t>e fondo pluriennale vincolato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lastRenderedPageBreak/>
              <w:t>183.723,42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lastRenderedPageBreak/>
              <w:t>2000000:TRASFERIMENTI CORRENTI</w:t>
            </w: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99905:Contributi adesione COBIRE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 w:val="restar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99908:Entrate corrispettivi esercizio difesa civica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99910:Entrate per attivita editoriale Consiglio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33.000,00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33.000,00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33.000,00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99924:Quota adesione OLI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99948:Trasferimento per funzionamento Consiglio - corrente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22.381.544,00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22.146.950,00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22.289.400,00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99949:Trasferimento per funzioni delegate al Corecom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172.676,07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172.676,07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172.676,07</w:t>
            </w:r>
          </w:p>
        </w:tc>
      </w:tr>
      <w:tr w:rsidR="004E2193" w:rsidRPr="004E2193" w:rsidTr="004E2193">
        <w:trPr>
          <w:trHeight w:val="255"/>
        </w:trPr>
        <w:tc>
          <w:tcPr>
            <w:tcW w:w="3156" w:type="pct"/>
            <w:gridSpan w:val="2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2000000:TRASFERIMENTI CORRENTI Totale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22.602.220,07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22.367.626,07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22.510.076,07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3000000:ENTRATE EXTRATRIBUTARIE</w:t>
            </w: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99902:Altre entrate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 w:val="restar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99913:Entrate restituzione Avanzo gruppi e altri rimborsi e restituzione somme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140,80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134,46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141,35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99914:Entrate uso sale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99920:Interessi attivi conto Tesoriere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99922:Interessi attivi su recupero somme erogate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99923:Proventi da multe e ammende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99925:Recuperi mensa quota a carico dipendenti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122.744,59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122.744,58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122.744,58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99926:Recuperi rimborsi e restituzione somme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99928:Recupero polizza invalidità permanente da malattia  e infortuni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99932:Recupero rimborsi e restituzione somme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3.211,12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3.034,89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3.078,00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99937:Rimborsi per consumi energia elettrica e acqua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99938:Rimborso spese pubblicazione bandi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99952:Recupero quota telefonia e tablets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9.734,00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9.734,00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9.734,00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99954:Sponsorizzazione tecnica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3156" w:type="pct"/>
            <w:gridSpan w:val="2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3000000:ENTRATE EXTRATRIBUTARIE Totale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232.450,51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217.267,93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217.317,93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shd w:val="clear" w:color="auto" w:fill="auto"/>
            <w:noWrap/>
            <w:vAlign w:val="bottom"/>
            <w:hideMark/>
          </w:tcPr>
          <w:p w:rsid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lastRenderedPageBreak/>
              <w:t>4000000:ENTRATE IN CONTO CAPITALE</w:t>
            </w: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lastRenderedPageBreak/>
              <w:t>99924:Quota adesione OLI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 w:val="restar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99926:Recuperi rimborsi e restituzione somme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99932:Recupero rimborsi e restituzione somme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99947:Trasferimento per funzionamento Consiglio - capitale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716.456,00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586.156,00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586.156,00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99954:Sponsorizzazione tecnica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60.000,00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E2193" w:rsidRPr="004E2193" w:rsidTr="004E2193">
        <w:trPr>
          <w:trHeight w:val="255"/>
        </w:trPr>
        <w:tc>
          <w:tcPr>
            <w:tcW w:w="3156" w:type="pct"/>
            <w:gridSpan w:val="2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4000000:ENTRATE IN CONTO CAPITALE Totale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776.456,00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586.156,00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586.156,00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9000000:ENTRATE PER CONTO TERZI E PARTITE DI GIRO</w:t>
            </w: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99903:Altre entrate per conto terzi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 w:val="restar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99912:Entrate per spese non andate a buon fine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99915:Erariali split payment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1.100.000,00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1.100.000,00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1.100.000,00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99919:Gestione carta di credito aziendale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99927:Recupero anticipi Economo Consiglio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99933:Restituzione depositi cauzionali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99934:Restituzione economo Fondo economale - Cassa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99935:Restituzione economo Fondo economale - Conto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99936:Riduzione compensi dipendenti pubblici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99939:Ritenute erariali contributi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99941:Ritenute erariali su lavoro autonomo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99942:Ritenute erariali su premi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99943:Ritenute erariali su redditi ALD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3.200.000,00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3.200.000,00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3.200.000,00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99944:Ritenute previdenziale e assistenziali su redditi ALD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99945:Ritenute previdenziali lavoro autonomo occasionale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1.500,00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1.500,00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1.500,00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99946:Ritenute rimborsi e recuperi vari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99950:Trattenute articolo 24 L.r. 3/2009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576.800,00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576.800,00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576.800,00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 w:rsidP="003629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99951:Trattenute obbligatori art. 4 c.1 lr 3/2009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215.650,00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215.650,00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215.650,00</w:t>
            </w:r>
          </w:p>
        </w:tc>
      </w:tr>
      <w:tr w:rsidR="004E2193" w:rsidRPr="004E2193" w:rsidTr="004E2193">
        <w:trPr>
          <w:trHeight w:val="255"/>
        </w:trPr>
        <w:tc>
          <w:tcPr>
            <w:tcW w:w="1409" w:type="pct"/>
            <w:vMerge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99953:Altre entrate per partite di giro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60.000,00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60.000,00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60.000,00</w:t>
            </w:r>
          </w:p>
        </w:tc>
      </w:tr>
      <w:tr w:rsidR="004E2193" w:rsidRPr="004E2193" w:rsidTr="004E2193">
        <w:trPr>
          <w:trHeight w:val="255"/>
        </w:trPr>
        <w:tc>
          <w:tcPr>
            <w:tcW w:w="3156" w:type="pct"/>
            <w:gridSpan w:val="2"/>
            <w:shd w:val="clear" w:color="auto" w:fill="auto"/>
            <w:noWrap/>
            <w:vAlign w:val="bottom"/>
            <w:hideMark/>
          </w:tcPr>
          <w:p w:rsidR="004E2193" w:rsidRPr="004E2193" w:rsidRDefault="004E2193">
            <w:pPr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9000000:ENTRATE PER CONTO TERZI E PARTITE DI GIRO Totale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5.321.950,00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5.317.950,00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4E2193" w:rsidRDefault="004E2193" w:rsidP="004E21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5.317.950,00</w:t>
            </w:r>
          </w:p>
        </w:tc>
      </w:tr>
      <w:tr w:rsidR="004E2193" w:rsidRPr="004E2193" w:rsidTr="003751A2">
        <w:trPr>
          <w:trHeight w:val="413"/>
        </w:trPr>
        <w:tc>
          <w:tcPr>
            <w:tcW w:w="1409" w:type="pct"/>
            <w:shd w:val="clear" w:color="auto" w:fill="auto"/>
            <w:noWrap/>
            <w:vAlign w:val="bottom"/>
            <w:hideMark/>
          </w:tcPr>
          <w:p w:rsidR="004E2193" w:rsidRPr="003751A2" w:rsidRDefault="004E21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51A2">
              <w:rPr>
                <w:rFonts w:ascii="Arial" w:hAnsi="Arial" w:cs="Arial"/>
                <w:b/>
                <w:bCs/>
                <w:sz w:val="22"/>
                <w:szCs w:val="22"/>
              </w:rPr>
              <w:t>Totale complessivo</w:t>
            </w:r>
          </w:p>
        </w:tc>
        <w:tc>
          <w:tcPr>
            <w:tcW w:w="1748" w:type="pct"/>
            <w:shd w:val="clear" w:color="auto" w:fill="auto"/>
            <w:noWrap/>
            <w:vAlign w:val="bottom"/>
            <w:hideMark/>
          </w:tcPr>
          <w:p w:rsidR="004E2193" w:rsidRPr="003751A2" w:rsidRDefault="004E21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51A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3751A2" w:rsidRDefault="004E2193" w:rsidP="004E21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51A2">
              <w:rPr>
                <w:rFonts w:ascii="Arial" w:hAnsi="Arial" w:cs="Arial"/>
                <w:b/>
                <w:bCs/>
                <w:sz w:val="22"/>
                <w:szCs w:val="22"/>
              </w:rPr>
              <w:t>29.116.800,00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3751A2" w:rsidRDefault="004E2193" w:rsidP="004E21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51A2">
              <w:rPr>
                <w:rFonts w:ascii="Arial" w:hAnsi="Arial" w:cs="Arial"/>
                <w:b/>
                <w:bCs/>
                <w:sz w:val="22"/>
                <w:szCs w:val="22"/>
              </w:rPr>
              <w:t>28.489.000,00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4E2193" w:rsidRPr="003751A2" w:rsidRDefault="004E2193" w:rsidP="004E219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51A2">
              <w:rPr>
                <w:rFonts w:ascii="Arial" w:hAnsi="Arial" w:cs="Arial"/>
                <w:b/>
                <w:bCs/>
                <w:sz w:val="22"/>
                <w:szCs w:val="22"/>
              </w:rPr>
              <w:t>28.631.500,00</w:t>
            </w:r>
          </w:p>
        </w:tc>
      </w:tr>
    </w:tbl>
    <w:p w:rsidR="007C09C5" w:rsidRDefault="007C09C5" w:rsidP="00561E7A">
      <w:pPr>
        <w:shd w:val="clear" w:color="auto" w:fill="FFFFFF"/>
        <w:jc w:val="both"/>
      </w:pPr>
    </w:p>
    <w:p w:rsidR="007C09C5" w:rsidRDefault="007C09C5" w:rsidP="00561E7A">
      <w:pPr>
        <w:shd w:val="clear" w:color="auto" w:fill="FFFFFF"/>
        <w:jc w:val="both"/>
      </w:pPr>
    </w:p>
    <w:p w:rsidR="00905149" w:rsidRPr="000977F5" w:rsidRDefault="004A2F69" w:rsidP="00561E7A">
      <w:pPr>
        <w:shd w:val="clear" w:color="auto" w:fill="FFFFFF"/>
        <w:jc w:val="both"/>
        <w:rPr>
          <w:b/>
        </w:rPr>
      </w:pPr>
      <w:r w:rsidRPr="004A2F69">
        <w:rPr>
          <w:b/>
        </w:rPr>
        <w:t>SPESA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67"/>
        <w:gridCol w:w="8240"/>
        <w:gridCol w:w="1785"/>
        <w:gridCol w:w="1872"/>
        <w:gridCol w:w="1760"/>
      </w:tblGrid>
      <w:tr w:rsidR="00F36EF0" w:rsidRPr="00F36EF0" w:rsidTr="004E2193">
        <w:trPr>
          <w:trHeight w:val="620"/>
          <w:tblHeader/>
        </w:trPr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4E2193" w:rsidRDefault="00F36E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Titolo</w:t>
            </w:r>
          </w:p>
        </w:tc>
        <w:tc>
          <w:tcPr>
            <w:tcW w:w="2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4E2193" w:rsidRDefault="00F36E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 xml:space="preserve">Macroaggregati di </w:t>
            </w:r>
            <w:r w:rsidR="00D20D55">
              <w:rPr>
                <w:rFonts w:ascii="Arial" w:hAnsi="Arial" w:cs="Arial"/>
                <w:sz w:val="22"/>
                <w:szCs w:val="22"/>
              </w:rPr>
              <w:t>SPESA</w:t>
            </w:r>
            <w:r w:rsidRPr="004E21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0D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666699"/>
              <w:bottom w:val="single" w:sz="4" w:space="0" w:color="969696"/>
              <w:right w:val="single" w:sz="4" w:space="0" w:color="666699"/>
            </w:tcBorders>
            <w:shd w:val="clear" w:color="FFFFFF" w:fill="FFFFFF"/>
            <w:vAlign w:val="center"/>
            <w:hideMark/>
          </w:tcPr>
          <w:p w:rsidR="00F36EF0" w:rsidRPr="004E2193" w:rsidRDefault="00F36EF0" w:rsidP="00D20D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PREVISIONI DELL'ANNO</w:t>
            </w:r>
            <w:r w:rsidRPr="004E2193">
              <w:rPr>
                <w:rFonts w:ascii="Arial" w:hAnsi="Arial" w:cs="Arial"/>
                <w:sz w:val="22"/>
                <w:szCs w:val="22"/>
              </w:rPr>
              <w:br/>
              <w:t>2021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969696"/>
              <w:right w:val="single" w:sz="4" w:space="0" w:color="666699"/>
            </w:tcBorders>
            <w:shd w:val="clear" w:color="FFFFFF" w:fill="FFFFFF"/>
            <w:vAlign w:val="center"/>
            <w:hideMark/>
          </w:tcPr>
          <w:p w:rsidR="00F36EF0" w:rsidRPr="004E2193" w:rsidRDefault="00F36EF0" w:rsidP="00D20D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PREVISIONI DELL'ANNO</w:t>
            </w:r>
            <w:r w:rsidRPr="004E2193">
              <w:rPr>
                <w:rFonts w:ascii="Arial" w:hAnsi="Arial" w:cs="Arial"/>
                <w:sz w:val="22"/>
                <w:szCs w:val="22"/>
              </w:rPr>
              <w:br/>
              <w:t>2022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969696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4E2193" w:rsidRDefault="00F36EF0" w:rsidP="00D20D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2193">
              <w:rPr>
                <w:rFonts w:ascii="Arial" w:hAnsi="Arial" w:cs="Arial"/>
                <w:sz w:val="22"/>
                <w:szCs w:val="22"/>
              </w:rPr>
              <w:t>PREVISIONI DELL'ANNO</w:t>
            </w:r>
            <w:r w:rsidRPr="004E2193">
              <w:rPr>
                <w:rFonts w:ascii="Arial" w:hAnsi="Arial" w:cs="Arial"/>
                <w:sz w:val="22"/>
                <w:szCs w:val="22"/>
              </w:rPr>
              <w:br/>
              <w:t>2023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correnti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Adesione conferenza dei Presidenti delle assemblee legislative</w:t>
            </w:r>
          </w:p>
        </w:tc>
        <w:tc>
          <w:tcPr>
            <w:tcW w:w="5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61.000,00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61.000,00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61.000,00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Altre spese di funzionamento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29.780,00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28.787,56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28.637,56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Altri oneri irap a carico Ente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54.524,96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54.624,68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54.632,46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Assegni vitalizi (al netto incremento costi legge 27/2019) anno 2020 e 2021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4.724.305,00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5.483.500,00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5.553.000,00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Assegni vitalizi - oneri irap (al netto incremento costi legge 27/2019) anno 2020 e 2021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401.695,00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466.500,00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472.000,00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Assicurazione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38.360,01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39.010,01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44.000,00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Autorità regionale per la garanzia e la promozione della partecipazione  - attività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375.000,00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360.000,00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360.000,00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Autorità regionale per la garanzia e la promozione della partecipazione  - Dibattito pubblico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26.000,00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26.000,00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26.000,00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Autorità regionale per la garanzia e la promozione della partecipazione  - trattamento economico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7.800,00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7.800,00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7.800,00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Budget titolari funzione di rappresentanza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46.000,00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46.000,00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46.000,00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Buoni pasto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6.245,35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6.245,35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6.245,35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Cancelleria e materiale di consumo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11.000,00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11.000,00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11.000,00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Carta e Cancelleria per Tipografia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59.999,80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59.676,00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59.676,00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Commissione pari opportunità (C.p.o.) - Attività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3.500,00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3.500,00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3.500,00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Commissione pari opportunità (C.p.o.) - Trattamento economico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68.050,00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68.050,00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68.050,00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Comunicazione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1.199.277,16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1.119.277,16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1.161.262,00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Comunicazione Fondazione sistema Toscana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135.000,00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Conferenza permanente delle autonomie sociali - Attività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Conferenza permanente delle autonomie sociali - Trattamento economico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Consiglio delle autonomie locali (C.a.l.) - Attività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Consiglio delle autonomie locali  (C.a.l.) e COPAS- Attività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1.500,00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1.500,00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1.500,00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Consiglio delle autonomie locali  (C.a.l.) - Trattamento economico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26.223,84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26.223,84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26.223,84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Contributi ANAC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3.250,00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2.700,00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2.600,00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Contributi - spese di rappresentanza l.r. 4/2009 art. 1 c. 1 lett. C)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80.000,00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80.000,00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80.000,00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Contributo SISTRI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Corecom - Attività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92.750,00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92.750,00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92.750,00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Corecom - Gestione deleghe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172.676,07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172.676,07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172.676,07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Corecom - Trattamento economico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153.026,32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154.131,28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154.131,28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Costo premi assicurativi Consiglieri/Assessori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Deposito materiale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32.000,00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Difensore civico - Attività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30.325,00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30.325,00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30.325,00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Difensore civico - Trattamento economico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76.300,00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76.300,00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76.300,00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Divise per il personale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55.000,00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Eventi di cerimoniale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7.700,00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7.700,00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7.700,00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Facchinaggio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130.000,00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130.000,00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130.000,00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Festa della Toscana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180.000,00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315.000,00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315.000,00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Finanziamento gruppi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205.000,00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205.000,00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205.000,00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Fondo copertura leggi - corrente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Fondo crediti dubbia esigibilità - corrente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Fondo oneri di cui all'art. 27 ter lr 3/2009 per fronteggiare emergenze sociali-ambientali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11.000,00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11.000,00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11.000,00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Fondo rischi da contenzioso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Fondo riserva spese impreviste correnti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68.189,32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55.000,00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55.000,00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Fondo riserva spese obbligatorie correnti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66.800,00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53.910,00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53.919,00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Formazione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Formazione obbligatoria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Fpv spesa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Garante detenuti - Attività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38.000,00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38.000,00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38.000,00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Garante detenuti - Trattamento economico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58.972,88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58.972,88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58.972,88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Garante infanzia e adolescenza - attività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56.000,00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56.000,00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56.000,00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Garante infanzia e adolescenza - trattamento economico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62.472,88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62.472,88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62.472,88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Gestione biblioteca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632.558,61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637.011,31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604.225,75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Gestione parco auto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38.106,12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38.806,12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39.600,00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Indennità di fine mandato (vedi sotto incremento spesa di euro 1.798.817,78)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Interventi straordinari a favore delle associazioni pro-loco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Irap su indennità di fine mandato  (vedi sotto incremento spesa di euro 54.639,90)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Legge regionale 10/2019 - Spese I Grandi toscani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Legge regionale 10/2020 - Armadio della Memoria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Legge regionale 13/2020 organizzazioni di volontariato (pazienti pediatrici)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Legge regionale 52/2020 - Guide turistiche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Legge regionale 53/2020 associazione e soc sportive dilettantistiche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Locazione canone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17.000,00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17.055,00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17.055,00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Locazione oneri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5.460,00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5.460,00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5.460,00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Manutenzione ordinaria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487.965,00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371.700,00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380.450,00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Manutenzione ordinaria - informatica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Manutenzione ordinaria - Tipografia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13.222,50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13.222,50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13.222,50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Materiale igienico sanitario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Mensa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246.839,15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246.855,35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255.500,00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Mensa a carico dipendenti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122.744,58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122.744,58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126.500,00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Missioni Consiglieri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16.000,00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16.000,00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16.000,00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Missioni personale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27.000,00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27.000,00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27.000,00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Noleggio Hardware - Tipografia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189.204,38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189.204,38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189.204,38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Oneri Inps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2.500,00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2.500,00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2.500,00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Parlamento degli studenti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36.000,00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36.000,00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36.000,00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Pianeta galileo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56.200,00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56.200,00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56.200,00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Portineria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481.000,00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481.000,00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481.000,00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Premio architettura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Premio Giovanni da Verrazzano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Premio innovazione made in Tuscany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Pulizia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469.550,57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470.000,00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472.000,00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Restituzione avanzo del Consiglio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 xml:space="preserve">Rimborso alla sezione regionale di controllo della corte dei conti per la regione </w:t>
            </w:r>
            <w:r w:rsidRPr="00F36EF0">
              <w:rPr>
                <w:rFonts w:ascii="Arial" w:hAnsi="Arial" w:cs="Arial"/>
                <w:sz w:val="22"/>
                <w:szCs w:val="22"/>
              </w:rPr>
              <w:lastRenderedPageBreak/>
              <w:t>toscana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lastRenderedPageBreak/>
              <w:t>210.000,00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210.000,00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210.000,00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Rimborso Giunta regionale lavoro straordinario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99.000,00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99.000,00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99.000,00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Servizi di connettività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32.000,00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32.000,00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32.000,00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Servizi di prevenzione e protezione SEPP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Servizio di trascrizione rapporto legislazione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Sistema antitaccheggio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Smaltimento rifiuti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3.400,00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3.400,00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3.400,00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Spesa corrente informatica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785.647,29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785.647,29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785.647,29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Spesa per accertamenti sanitari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13.000,00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13.000,00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13.000,00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collegio di garanzia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 commissioni permanenti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con fondo economale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4.162,00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4.162,00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4.162,00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di pubblicità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64.000,00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64.000,00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64.600,00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di rappresentanza l.r. 4/2009 art. 1  lett. a) e b)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funzionamento Associazione Italiana per il Consiglio dei Comuni e delle Regioni d'Europa AICCRE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62.000,00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62.000,00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62.000,00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funzionamento osservatorio legislativo interregionale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per attività e inziative commissione controllo e istituzionali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890,00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890,00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890,00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per attività istituzionale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185.000,00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185.000,00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185.000,00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per attività istituzionale  - collaborazione con università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per attività istituzionale - giorno della memoria e del ricordo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8.500,00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8.500,00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8.500,00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per la gestione delle opere d'arte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10.500,00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10.500,00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10.500,00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per l'inziativa popolare l.r. 51/2010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postali e spedizione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12.217,45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12.400,00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12.400,00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rilegatura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servizio di tesoreria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varie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11.125,00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6.125,00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6.125,00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varie personale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Sponsorizzazione tecnica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Tariffa igiene ambientale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210.000,00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210.000,00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210.000,00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Telefonia Consiglieri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Telefonia Gruppi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Telefonia Uffici - Gruppi e Consiglieri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90.000,00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90.000,00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Telelavoro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16.000,00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16.000,00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16.000,00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Tirocini formativi - Consiglio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40.530,00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40.530,00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40.530,00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Trascrizione sedute consiliari e commissioni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24.590,00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24.590,00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24.590,00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Trattamento economico Consiglieri/Assessori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6.588.757,76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6.588.757,76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6.588.757,76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Trattamento economico Consiglieri/Assessori - Oneri Irap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415.500,00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415.500,00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415.500,00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Utenze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502.900,00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502.900,00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502.900,00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Valorizzazione identità Toscana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Valutazione politiche pubbliche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Vigilanza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360.000,00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365.000,00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370.000,00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 xml:space="preserve">Legge Fondazione formazione politica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36EF0" w:rsidRPr="00F36EF0" w:rsidRDefault="00F36EF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Totale  - Spese correnti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22.078.394,00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22.584.894,00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22.727.394,00</w:t>
            </w:r>
          </w:p>
        </w:tc>
      </w:tr>
      <w:tr w:rsidR="00F36EF0" w:rsidRPr="00F36EF0" w:rsidTr="000977F5">
        <w:trPr>
          <w:trHeight w:val="125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in conto capitale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Attrezzature</w:t>
            </w:r>
          </w:p>
        </w:tc>
        <w:tc>
          <w:tcPr>
            <w:tcW w:w="5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11.000,00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Attrezzature per mensa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Contributi agli investimenti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Corecom - Gestione deleghe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Fondo copertura leggi - investimento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Fondo riserva spese impreviste c/capitale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45.000,00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49.500,00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49.500,00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Fpv spesa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Gestione biblioteca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Lapidi commemorative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Legge regionale 10/2019 - Spese I Grandi toscani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Manutenzione straordinaria compreso FPV a copertura lavori ex BIT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380.300,00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181.000,00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181.000,00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Mobili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23.000,00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18.500,00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18.500,00</w:t>
            </w:r>
          </w:p>
        </w:tc>
      </w:tr>
      <w:tr w:rsidR="00F36EF0" w:rsidRPr="00F36EF0" w:rsidTr="00865968">
        <w:trPr>
          <w:trHeight w:val="7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Spesa in c/capitale informatica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315.156,00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215.156,00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215.156,00</w:t>
            </w:r>
          </w:p>
        </w:tc>
      </w:tr>
      <w:tr w:rsidR="00F36EF0" w:rsidRPr="00F36EF0" w:rsidTr="00865968">
        <w:trPr>
          <w:trHeight w:val="7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allestimento mostre di esposizione e segnaletica interna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17.000,00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4.000,00</w:t>
            </w:r>
          </w:p>
        </w:tc>
      </w:tr>
      <w:tr w:rsidR="00F36EF0" w:rsidRPr="00F36EF0" w:rsidTr="000977F5">
        <w:trPr>
          <w:trHeight w:val="7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con fondo economale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  <w:tr w:rsidR="00F36EF0" w:rsidRPr="00F36EF0" w:rsidTr="00865968">
        <w:trPr>
          <w:trHeight w:val="7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Spese funzionamento osservatorio legislativo interregionale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7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Sponsorizzazione tecnica (coperta da entrata propria)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60.000,00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865968">
        <w:trPr>
          <w:trHeight w:val="187"/>
        </w:trPr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36EF0" w:rsidRPr="00F36EF0" w:rsidRDefault="00F36EF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Totale  - Spese in conto capitale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959.456,00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586.156,00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586.156,00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 xml:space="preserve">Totale spesa corrente e in conto capitale - </w:t>
            </w:r>
            <w:r w:rsidRPr="00865968">
              <w:rPr>
                <w:rFonts w:ascii="Arial" w:hAnsi="Arial" w:cs="Arial"/>
                <w:sz w:val="22"/>
                <w:szCs w:val="22"/>
                <w:u w:val="single"/>
              </w:rPr>
              <w:t xml:space="preserve">al netto </w:t>
            </w:r>
            <w:r w:rsidRPr="00865968">
              <w:rPr>
                <w:rFonts w:ascii="Arial" w:hAnsi="Arial" w:cs="Arial"/>
                <w:sz w:val="22"/>
                <w:szCs w:val="22"/>
              </w:rPr>
              <w:t>della spesa corrente per Indennità di fine mandato anno 2020 e incremento costo legge 27/2019 (abolizione divieto di cumulo vitalizi) anno 2020 e 2021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23.037.850,00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23.171.050,00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23.313.550,00</w:t>
            </w:r>
          </w:p>
        </w:tc>
      </w:tr>
      <w:tr w:rsidR="00F36EF0" w:rsidRPr="00F36EF0" w:rsidTr="000977F5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SPESA PER EROGAZIONE INDENNITA' DI FINE MANDATO PER FINE LEGISLATURA 2020 E INCREMENTO COSTO LEGGE 27/2019 (ABOLIZIONE DIVIETO DI CUMULO VITALIZI) ANNUALITA' 2020 E 2021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Spesa Indennità di fine mandato (compresi oneri IRAP)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Incremento costi legge 27/2019 (Assegni Vitalizi) (compresi oneri IRAP)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757.000,00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36EF0" w:rsidRPr="000977F5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0977F5">
              <w:rPr>
                <w:rFonts w:ascii="Arial" w:hAnsi="Arial" w:cs="Arial"/>
                <w:sz w:val="22"/>
                <w:szCs w:val="22"/>
              </w:rPr>
              <w:t>Totale maggiore spesa corrente per IFM ed incremento costi legge 27/2019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36EF0" w:rsidRPr="000977F5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77F5">
              <w:rPr>
                <w:rFonts w:ascii="Arial" w:hAnsi="Arial" w:cs="Arial"/>
                <w:sz w:val="22"/>
                <w:szCs w:val="22"/>
              </w:rPr>
              <w:t>757.000,00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36EF0" w:rsidRPr="000977F5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77F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36EF0" w:rsidRPr="000977F5" w:rsidRDefault="00F36E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7F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0977F5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0977F5">
              <w:rPr>
                <w:rFonts w:ascii="Arial" w:hAnsi="Arial" w:cs="Arial"/>
                <w:sz w:val="22"/>
                <w:szCs w:val="22"/>
              </w:rPr>
              <w:t xml:space="preserve">Totale spesa corrente e in conto capitale - </w:t>
            </w:r>
            <w:r w:rsidRPr="000977F5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 xml:space="preserve">compresa </w:t>
            </w:r>
            <w:r w:rsidRPr="000977F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 spesa corrente per Indennità di fine </w:t>
            </w:r>
            <w:r w:rsidRPr="000977F5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mandato anno 2020 e incremento costo legge 27/2019 (abolizione divieto di cumulo vitalizi) anno 2020 e 2021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0977F5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77F5">
              <w:rPr>
                <w:rFonts w:ascii="Arial" w:hAnsi="Arial" w:cs="Arial"/>
                <w:sz w:val="22"/>
                <w:szCs w:val="22"/>
              </w:rPr>
              <w:lastRenderedPageBreak/>
              <w:t>23.794.850,00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0977F5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77F5">
              <w:rPr>
                <w:rFonts w:ascii="Arial" w:hAnsi="Arial" w:cs="Arial"/>
                <w:sz w:val="22"/>
                <w:szCs w:val="22"/>
              </w:rPr>
              <w:t>23.171.050,00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0977F5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77F5">
              <w:rPr>
                <w:rFonts w:ascii="Arial" w:hAnsi="Arial" w:cs="Arial"/>
                <w:sz w:val="22"/>
                <w:szCs w:val="22"/>
              </w:rPr>
              <w:t>23.313.550,00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lastRenderedPageBreak/>
              <w:t>Entrate proprie di parte corrente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453.850,00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437.944,00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437.994,00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Entrate proprie di parte capitale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243.000,00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Totale entrate proprie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696.850,00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437.944,00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437.994,00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Richiesta fabbisogno Giunta regionale - parte corrente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21.624.544,00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 xml:space="preserve">            22.146.950,00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 xml:space="preserve">         22.289.400,00 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Richiesta fabbisogno Giunta regionale - parte capitale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>716.456,00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 xml:space="preserve">                 586.156,00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6EF0">
              <w:rPr>
                <w:rFonts w:ascii="Arial" w:hAnsi="Arial" w:cs="Arial"/>
                <w:sz w:val="22"/>
                <w:szCs w:val="22"/>
              </w:rPr>
              <w:t xml:space="preserve">               586.156,00 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36EF0" w:rsidRPr="00865968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 xml:space="preserve">Totale richiesta fabbisogno Giunta regionale - </w:t>
            </w:r>
            <w:r w:rsidRPr="00865968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al netto</w:t>
            </w:r>
            <w:r w:rsidRPr="0086596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della spesa corrente per Indennità di fine mandato anno 2020 e incremento costo legge 27/2019 (abolizione divieto di cumulo vitalizi) anno 2020 e 2021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22.341.000,00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22.733.106,00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22.875.556,00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36EF0" w:rsidRPr="00865968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Ulteriore richiesta di fabbisogno Giunta regionale per spesa Indennità di fine mandato (compresi oneri IRAP) - parte corrente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36EF0" w:rsidRPr="00865968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Ulteriore richiesta di fabbisogno Giunta regionale per incremento costi legge 27/2019 (Assegni Vitalizi) (compresi oneri IRAP) - parte corrente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757.000,00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36EF0" w:rsidRPr="00865968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 xml:space="preserve">Totale richiesta fabbisogno Giunta regionale </w:t>
            </w:r>
            <w:r w:rsidRPr="00865968">
              <w:rPr>
                <w:rFonts w:ascii="Arial" w:hAnsi="Arial" w:cs="Arial"/>
                <w:sz w:val="22"/>
                <w:szCs w:val="22"/>
                <w:u w:val="single"/>
              </w:rPr>
              <w:t>(</w:t>
            </w:r>
            <w:r w:rsidRPr="00865968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compresa la</w:t>
            </w:r>
            <w:r w:rsidRPr="0086596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spesa corrente per  Indennità di fine mandato anno 2020 e incremento costi legge 27/2019 (abolizione divieto di cumulo vitalizi) anno 2020 e 2021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23.098.000,00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22.733.106,00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22.875.556,00</w:t>
            </w:r>
          </w:p>
        </w:tc>
      </w:tr>
      <w:tr w:rsidR="00F36EF0" w:rsidRPr="00F36EF0" w:rsidTr="000977F5">
        <w:trPr>
          <w:trHeight w:val="340"/>
        </w:trPr>
        <w:tc>
          <w:tcPr>
            <w:tcW w:w="3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Totale entrate corrente ed in conto capitale</w:t>
            </w:r>
            <w:r w:rsidRPr="0086596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</w:t>
            </w:r>
            <w:r w:rsidRPr="00865968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compresa la</w:t>
            </w:r>
            <w:r w:rsidRPr="0086596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spesa corrente per Indennità di fine mandato anno 2020 e incremento costo legge 27/2019 (abolizione divieto di cumulo vitalizi) per anno 2020 e 2021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23.794.850,00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23.171.050,00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23.313.550,00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Gestione carta di credito aziendale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 </w:t>
            </w:r>
            <w:r w:rsidR="000977F5" w:rsidRPr="00865968">
              <w:rPr>
                <w:rFonts w:ascii="Arial" w:hAnsi="Arial" w:cs="Arial"/>
                <w:sz w:val="22"/>
                <w:szCs w:val="22"/>
              </w:rPr>
              <w:t>Uscite per conto terzi e partite di giro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Partite di giro e uscite per conto terzi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5.320.950,00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5.316.950,00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5.316.950,00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36EF0" w:rsidRPr="00865968" w:rsidRDefault="00F36EF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6596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Totale  - Uscite per conto terzi e partite di giro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5.321.950,00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5.317.950,00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865968" w:rsidRDefault="00F36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5968">
              <w:rPr>
                <w:rFonts w:ascii="Arial" w:hAnsi="Arial" w:cs="Arial"/>
                <w:sz w:val="22"/>
                <w:szCs w:val="22"/>
              </w:rPr>
              <w:t>5.317.950,00</w:t>
            </w:r>
          </w:p>
        </w:tc>
      </w:tr>
      <w:tr w:rsidR="00F36EF0" w:rsidRPr="00F36EF0" w:rsidTr="000977F5">
        <w:trPr>
          <w:trHeight w:val="340"/>
        </w:trPr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36EF0" w:rsidRPr="00F36EF0" w:rsidRDefault="00F36E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TOTALE COMPLESSIVO</w:t>
            </w:r>
          </w:p>
        </w:tc>
        <w:tc>
          <w:tcPr>
            <w:tcW w:w="5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29.116.800,00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28.489.000,00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6EF0" w:rsidRPr="00F36EF0" w:rsidRDefault="00F36EF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EF0">
              <w:rPr>
                <w:rFonts w:ascii="Arial" w:hAnsi="Arial" w:cs="Arial"/>
                <w:b/>
                <w:bCs/>
                <w:sz w:val="22"/>
                <w:szCs w:val="22"/>
              </w:rPr>
              <w:t>28.631.500,00</w:t>
            </w:r>
          </w:p>
        </w:tc>
      </w:tr>
    </w:tbl>
    <w:p w:rsidR="00F36EF0" w:rsidRDefault="00F36EF0" w:rsidP="00561E7A">
      <w:pPr>
        <w:shd w:val="clear" w:color="auto" w:fill="FFFFFF"/>
        <w:jc w:val="both"/>
      </w:pPr>
    </w:p>
    <w:sectPr w:rsidR="00F36EF0" w:rsidSect="00081288">
      <w:headerReference w:type="default" r:id="rId7"/>
      <w:footerReference w:type="even" r:id="rId8"/>
      <w:footerReference w:type="default" r:id="rId9"/>
      <w:pgSz w:w="16838" w:h="11906" w:orient="landscape"/>
      <w:pgMar w:top="284" w:right="1134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A72" w:rsidRDefault="00CD4A72">
      <w:r>
        <w:separator/>
      </w:r>
    </w:p>
  </w:endnote>
  <w:endnote w:type="continuationSeparator" w:id="0">
    <w:p w:rsidR="00CD4A72" w:rsidRDefault="00CD4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charset w:val="00"/>
    <w:family w:val="roman"/>
    <w:pitch w:val="variable"/>
    <w:sig w:usb0="E40002FF" w:usb1="5200F1FB" w:usb2="0A04002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EF0" w:rsidRDefault="00F36EF0" w:rsidP="006747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36EF0" w:rsidRDefault="00F36EF0" w:rsidP="00774E25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EF0" w:rsidRDefault="00F36EF0" w:rsidP="006747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6455DD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6455DD">
      <w:rPr>
        <w:rStyle w:val="Numeropagina"/>
        <w:noProof/>
      </w:rPr>
      <w:t>11</w:t>
    </w:r>
    <w:r>
      <w:rPr>
        <w:rStyle w:val="Numeropagina"/>
      </w:rPr>
      <w:fldChar w:fldCharType="end"/>
    </w:r>
  </w:p>
  <w:p w:rsidR="00F36EF0" w:rsidRPr="00C91DA7" w:rsidRDefault="00F36EF0" w:rsidP="00595BE3">
    <w:pPr>
      <w:pStyle w:val="Pidipagina"/>
      <w:ind w:right="360"/>
      <w:rPr>
        <w:i/>
        <w:sz w:val="20"/>
        <w:szCs w:val="20"/>
      </w:rPr>
    </w:pPr>
    <w:r>
      <w:rPr>
        <w:i/>
        <w:sz w:val="20"/>
        <w:szCs w:val="20"/>
      </w:rPr>
      <w:t xml:space="preserve">  Data di aggiornamento 4 gennaio 2021            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pagina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A72" w:rsidRDefault="00CD4A72">
      <w:r>
        <w:separator/>
      </w:r>
    </w:p>
  </w:footnote>
  <w:footnote w:type="continuationSeparator" w:id="0">
    <w:p w:rsidR="00CD4A72" w:rsidRDefault="00CD4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EF0" w:rsidRDefault="006455DD" w:rsidP="005C271C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48895</wp:posOffset>
          </wp:positionV>
          <wp:extent cx="1818640" cy="50228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640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36EF0" w:rsidRPr="0036558F" w:rsidRDefault="00F36EF0" w:rsidP="005C271C">
    <w:pPr>
      <w:pStyle w:val="Intestazione"/>
      <w:jc w:val="right"/>
      <w:rPr>
        <w:sz w:val="20"/>
        <w:szCs w:val="20"/>
      </w:rPr>
    </w:pPr>
  </w:p>
  <w:p w:rsidR="00F36EF0" w:rsidRDefault="00F36EF0" w:rsidP="00B71B7A">
    <w:pPr>
      <w:pStyle w:val="Intestazione"/>
      <w:rPr>
        <w:b/>
        <w:sz w:val="18"/>
        <w:szCs w:val="18"/>
      </w:rPr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 w:rsidRPr="00F844D0">
      <w:rPr>
        <w:b/>
        <w:sz w:val="18"/>
        <w:szCs w:val="18"/>
      </w:rPr>
      <w:t>Settore Bilancio e finanze</w:t>
    </w:r>
  </w:p>
  <w:p w:rsidR="00F36EF0" w:rsidRDefault="00F36EF0" w:rsidP="00B71B7A">
    <w:pPr>
      <w:pStyle w:val="Intestazione"/>
      <w:rPr>
        <w:b/>
        <w:sz w:val="18"/>
        <w:szCs w:val="18"/>
      </w:rPr>
    </w:pPr>
  </w:p>
  <w:p w:rsidR="00F36EF0" w:rsidRPr="00F844D0" w:rsidRDefault="00F36EF0" w:rsidP="00B71B7A">
    <w:pPr>
      <w:pStyle w:val="Intestazione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3DF8"/>
    <w:multiLevelType w:val="hybridMultilevel"/>
    <w:tmpl w:val="030C4FDC"/>
    <w:lvl w:ilvl="0" w:tplc="5B84589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597541"/>
    <w:multiLevelType w:val="hybridMultilevel"/>
    <w:tmpl w:val="CC3833B2"/>
    <w:lvl w:ilvl="0" w:tplc="7AC2D02C">
      <w:numFmt w:val="none"/>
      <w:lvlText w:val=""/>
      <w:lvlJc w:val="left"/>
      <w:pPr>
        <w:tabs>
          <w:tab w:val="num" w:pos="360"/>
        </w:tabs>
      </w:pPr>
    </w:lvl>
    <w:lvl w:ilvl="1" w:tplc="B3CE5410">
      <w:numFmt w:val="decimal"/>
      <w:lvlText w:val=""/>
      <w:lvlJc w:val="left"/>
    </w:lvl>
    <w:lvl w:ilvl="2" w:tplc="7E3E985C">
      <w:numFmt w:val="decimal"/>
      <w:lvlText w:val=""/>
      <w:lvlJc w:val="left"/>
    </w:lvl>
    <w:lvl w:ilvl="3" w:tplc="9F9A4928">
      <w:numFmt w:val="decimal"/>
      <w:lvlText w:val=""/>
      <w:lvlJc w:val="left"/>
    </w:lvl>
    <w:lvl w:ilvl="4" w:tplc="E3E6961E">
      <w:numFmt w:val="decimal"/>
      <w:lvlText w:val=""/>
      <w:lvlJc w:val="left"/>
    </w:lvl>
    <w:lvl w:ilvl="5" w:tplc="8D325334">
      <w:numFmt w:val="decimal"/>
      <w:lvlText w:val=""/>
      <w:lvlJc w:val="left"/>
    </w:lvl>
    <w:lvl w:ilvl="6" w:tplc="8456505C">
      <w:numFmt w:val="decimal"/>
      <w:lvlText w:val=""/>
      <w:lvlJc w:val="left"/>
    </w:lvl>
    <w:lvl w:ilvl="7" w:tplc="6330ACA0">
      <w:numFmt w:val="decimal"/>
      <w:lvlText w:val=""/>
      <w:lvlJc w:val="left"/>
    </w:lvl>
    <w:lvl w:ilvl="8" w:tplc="062AF3BE">
      <w:numFmt w:val="decimal"/>
      <w:lvlText w:val=""/>
      <w:lvlJc w:val="left"/>
    </w:lvl>
  </w:abstractNum>
  <w:abstractNum w:abstractNumId="2">
    <w:nsid w:val="551E1C1D"/>
    <w:multiLevelType w:val="hybridMultilevel"/>
    <w:tmpl w:val="5FB2C9F2"/>
    <w:lvl w:ilvl="0" w:tplc="E8465024">
      <w:numFmt w:val="decimal"/>
      <w:lvlText w:val=""/>
      <w:lvlJc w:val="left"/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3">
    <w:nsid w:val="796B56A2"/>
    <w:multiLevelType w:val="hybridMultilevel"/>
    <w:tmpl w:val="F084863A"/>
    <w:lvl w:ilvl="0" w:tplc="E8465024">
      <w:numFmt w:val="decimal"/>
      <w:lvlText w:val=""/>
      <w:lvlJc w:val="left"/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4">
    <w:nsid w:val="7D62638E"/>
    <w:multiLevelType w:val="multilevel"/>
    <w:tmpl w:val="2C82C0E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E184B"/>
    <w:rsid w:val="000022BB"/>
    <w:rsid w:val="00003BD5"/>
    <w:rsid w:val="000041B9"/>
    <w:rsid w:val="00004247"/>
    <w:rsid w:val="0001091F"/>
    <w:rsid w:val="00013638"/>
    <w:rsid w:val="00013783"/>
    <w:rsid w:val="00013BEA"/>
    <w:rsid w:val="00017746"/>
    <w:rsid w:val="00020CD0"/>
    <w:rsid w:val="000216B4"/>
    <w:rsid w:val="00022287"/>
    <w:rsid w:val="0002305A"/>
    <w:rsid w:val="000308BE"/>
    <w:rsid w:val="000320CF"/>
    <w:rsid w:val="00032D05"/>
    <w:rsid w:val="00033A99"/>
    <w:rsid w:val="00034A9B"/>
    <w:rsid w:val="00034EBE"/>
    <w:rsid w:val="00042D75"/>
    <w:rsid w:val="00043125"/>
    <w:rsid w:val="0005086A"/>
    <w:rsid w:val="00052B75"/>
    <w:rsid w:val="00053FCD"/>
    <w:rsid w:val="00054CE6"/>
    <w:rsid w:val="00057647"/>
    <w:rsid w:val="0006338C"/>
    <w:rsid w:val="00063BDE"/>
    <w:rsid w:val="00063E32"/>
    <w:rsid w:val="00070A26"/>
    <w:rsid w:val="00071C57"/>
    <w:rsid w:val="00074411"/>
    <w:rsid w:val="00074C89"/>
    <w:rsid w:val="000766ED"/>
    <w:rsid w:val="00081288"/>
    <w:rsid w:val="00083162"/>
    <w:rsid w:val="000833A2"/>
    <w:rsid w:val="000839D7"/>
    <w:rsid w:val="00096288"/>
    <w:rsid w:val="00096DFA"/>
    <w:rsid w:val="00097684"/>
    <w:rsid w:val="000977F5"/>
    <w:rsid w:val="000A0936"/>
    <w:rsid w:val="000A104E"/>
    <w:rsid w:val="000A4166"/>
    <w:rsid w:val="000A7A56"/>
    <w:rsid w:val="000B1B94"/>
    <w:rsid w:val="000B2243"/>
    <w:rsid w:val="000B7AB7"/>
    <w:rsid w:val="000C1390"/>
    <w:rsid w:val="000C5C79"/>
    <w:rsid w:val="000D0900"/>
    <w:rsid w:val="000D351C"/>
    <w:rsid w:val="000D67E2"/>
    <w:rsid w:val="000D6B7D"/>
    <w:rsid w:val="000E267E"/>
    <w:rsid w:val="000E582A"/>
    <w:rsid w:val="000E5873"/>
    <w:rsid w:val="000E5D09"/>
    <w:rsid w:val="000F06D4"/>
    <w:rsid w:val="000F2C29"/>
    <w:rsid w:val="00100144"/>
    <w:rsid w:val="0010189A"/>
    <w:rsid w:val="00104A6C"/>
    <w:rsid w:val="00104BE3"/>
    <w:rsid w:val="00107235"/>
    <w:rsid w:val="001128B3"/>
    <w:rsid w:val="0011294B"/>
    <w:rsid w:val="00114083"/>
    <w:rsid w:val="00120FA0"/>
    <w:rsid w:val="00124AE6"/>
    <w:rsid w:val="00127549"/>
    <w:rsid w:val="00127B1C"/>
    <w:rsid w:val="00127D72"/>
    <w:rsid w:val="0013043D"/>
    <w:rsid w:val="00130FF9"/>
    <w:rsid w:val="001333FE"/>
    <w:rsid w:val="00137063"/>
    <w:rsid w:val="00141FE5"/>
    <w:rsid w:val="00142CB6"/>
    <w:rsid w:val="001430E7"/>
    <w:rsid w:val="00145B6A"/>
    <w:rsid w:val="0014770F"/>
    <w:rsid w:val="00151EF6"/>
    <w:rsid w:val="001538EC"/>
    <w:rsid w:val="00160B30"/>
    <w:rsid w:val="001626FD"/>
    <w:rsid w:val="0016373E"/>
    <w:rsid w:val="00164F43"/>
    <w:rsid w:val="001655B4"/>
    <w:rsid w:val="0016707D"/>
    <w:rsid w:val="001708E7"/>
    <w:rsid w:val="00173A78"/>
    <w:rsid w:val="00174631"/>
    <w:rsid w:val="00175D14"/>
    <w:rsid w:val="00176AA5"/>
    <w:rsid w:val="00176BE1"/>
    <w:rsid w:val="00193FFB"/>
    <w:rsid w:val="00197F5D"/>
    <w:rsid w:val="001A00C9"/>
    <w:rsid w:val="001A13E3"/>
    <w:rsid w:val="001A4F42"/>
    <w:rsid w:val="001A7456"/>
    <w:rsid w:val="001B60E1"/>
    <w:rsid w:val="001C2D78"/>
    <w:rsid w:val="001D031E"/>
    <w:rsid w:val="001D4344"/>
    <w:rsid w:val="001D7A71"/>
    <w:rsid w:val="001E51AD"/>
    <w:rsid w:val="001E6346"/>
    <w:rsid w:val="001E65D0"/>
    <w:rsid w:val="001E75D7"/>
    <w:rsid w:val="001F2D8F"/>
    <w:rsid w:val="002014B3"/>
    <w:rsid w:val="00203B66"/>
    <w:rsid w:val="00213E52"/>
    <w:rsid w:val="00215350"/>
    <w:rsid w:val="00217F76"/>
    <w:rsid w:val="002210F6"/>
    <w:rsid w:val="00221AA8"/>
    <w:rsid w:val="00225E25"/>
    <w:rsid w:val="00235B1F"/>
    <w:rsid w:val="0024231B"/>
    <w:rsid w:val="002512B0"/>
    <w:rsid w:val="00251E9C"/>
    <w:rsid w:val="00252F7B"/>
    <w:rsid w:val="00254B04"/>
    <w:rsid w:val="002554D0"/>
    <w:rsid w:val="00255BA8"/>
    <w:rsid w:val="00255C39"/>
    <w:rsid w:val="0025744F"/>
    <w:rsid w:val="00261F96"/>
    <w:rsid w:val="002628BE"/>
    <w:rsid w:val="00263C0C"/>
    <w:rsid w:val="00266E93"/>
    <w:rsid w:val="002672C9"/>
    <w:rsid w:val="002675F3"/>
    <w:rsid w:val="00272514"/>
    <w:rsid w:val="00274DC6"/>
    <w:rsid w:val="002754C3"/>
    <w:rsid w:val="002761DB"/>
    <w:rsid w:val="0028289E"/>
    <w:rsid w:val="00282A76"/>
    <w:rsid w:val="00283E7E"/>
    <w:rsid w:val="00284F1B"/>
    <w:rsid w:val="00286727"/>
    <w:rsid w:val="00286EF3"/>
    <w:rsid w:val="00287615"/>
    <w:rsid w:val="002928FC"/>
    <w:rsid w:val="002A1263"/>
    <w:rsid w:val="002B0303"/>
    <w:rsid w:val="002B482B"/>
    <w:rsid w:val="002C0057"/>
    <w:rsid w:val="002C12EB"/>
    <w:rsid w:val="002C1CFE"/>
    <w:rsid w:val="002C424F"/>
    <w:rsid w:val="002C5011"/>
    <w:rsid w:val="002D0FF6"/>
    <w:rsid w:val="002D3E8B"/>
    <w:rsid w:val="002E0AF3"/>
    <w:rsid w:val="002E0B4F"/>
    <w:rsid w:val="002E1524"/>
    <w:rsid w:val="002E184B"/>
    <w:rsid w:val="002E47B6"/>
    <w:rsid w:val="002F2BB9"/>
    <w:rsid w:val="002F4166"/>
    <w:rsid w:val="002F5800"/>
    <w:rsid w:val="002F6247"/>
    <w:rsid w:val="003029FE"/>
    <w:rsid w:val="00303B41"/>
    <w:rsid w:val="00305659"/>
    <w:rsid w:val="00320A4A"/>
    <w:rsid w:val="00324033"/>
    <w:rsid w:val="00324E74"/>
    <w:rsid w:val="00325BA3"/>
    <w:rsid w:val="003265DA"/>
    <w:rsid w:val="00326856"/>
    <w:rsid w:val="0033064A"/>
    <w:rsid w:val="003348B9"/>
    <w:rsid w:val="003421D0"/>
    <w:rsid w:val="003440FA"/>
    <w:rsid w:val="0034605C"/>
    <w:rsid w:val="00350042"/>
    <w:rsid w:val="003510AF"/>
    <w:rsid w:val="00362803"/>
    <w:rsid w:val="0036291F"/>
    <w:rsid w:val="00364845"/>
    <w:rsid w:val="00373529"/>
    <w:rsid w:val="003751A2"/>
    <w:rsid w:val="00375D15"/>
    <w:rsid w:val="00376221"/>
    <w:rsid w:val="0038202F"/>
    <w:rsid w:val="003846BE"/>
    <w:rsid w:val="00384C56"/>
    <w:rsid w:val="003859AF"/>
    <w:rsid w:val="00387525"/>
    <w:rsid w:val="003975F9"/>
    <w:rsid w:val="003A63DF"/>
    <w:rsid w:val="003A6BA6"/>
    <w:rsid w:val="003B56D5"/>
    <w:rsid w:val="003C0773"/>
    <w:rsid w:val="003C0AEE"/>
    <w:rsid w:val="003C37AD"/>
    <w:rsid w:val="003C3BEA"/>
    <w:rsid w:val="003D2A75"/>
    <w:rsid w:val="003D3970"/>
    <w:rsid w:val="003D7244"/>
    <w:rsid w:val="003E0A5E"/>
    <w:rsid w:val="003E2809"/>
    <w:rsid w:val="003E3362"/>
    <w:rsid w:val="003E4447"/>
    <w:rsid w:val="003E44EF"/>
    <w:rsid w:val="003F0434"/>
    <w:rsid w:val="003F086B"/>
    <w:rsid w:val="00401D95"/>
    <w:rsid w:val="0040319A"/>
    <w:rsid w:val="004059EA"/>
    <w:rsid w:val="00405DE9"/>
    <w:rsid w:val="00406F2B"/>
    <w:rsid w:val="004102E3"/>
    <w:rsid w:val="0041149B"/>
    <w:rsid w:val="00413957"/>
    <w:rsid w:val="004153AB"/>
    <w:rsid w:val="004229B6"/>
    <w:rsid w:val="0042694F"/>
    <w:rsid w:val="004342F7"/>
    <w:rsid w:val="00435CB4"/>
    <w:rsid w:val="00436B58"/>
    <w:rsid w:val="00437C53"/>
    <w:rsid w:val="004402A6"/>
    <w:rsid w:val="00443238"/>
    <w:rsid w:val="00450BA5"/>
    <w:rsid w:val="004567CA"/>
    <w:rsid w:val="004601BC"/>
    <w:rsid w:val="004608A9"/>
    <w:rsid w:val="00461D93"/>
    <w:rsid w:val="00463309"/>
    <w:rsid w:val="004659BC"/>
    <w:rsid w:val="004719A2"/>
    <w:rsid w:val="00471CA5"/>
    <w:rsid w:val="00471DDF"/>
    <w:rsid w:val="00472718"/>
    <w:rsid w:val="00474AB8"/>
    <w:rsid w:val="0047705A"/>
    <w:rsid w:val="00477F51"/>
    <w:rsid w:val="00481DA4"/>
    <w:rsid w:val="00490B2B"/>
    <w:rsid w:val="00490C6D"/>
    <w:rsid w:val="00490D3A"/>
    <w:rsid w:val="0049423D"/>
    <w:rsid w:val="00494773"/>
    <w:rsid w:val="004976F5"/>
    <w:rsid w:val="004A098A"/>
    <w:rsid w:val="004A18A6"/>
    <w:rsid w:val="004A244E"/>
    <w:rsid w:val="004A2F69"/>
    <w:rsid w:val="004A5356"/>
    <w:rsid w:val="004A591D"/>
    <w:rsid w:val="004B0007"/>
    <w:rsid w:val="004B0B79"/>
    <w:rsid w:val="004B45EA"/>
    <w:rsid w:val="004B5331"/>
    <w:rsid w:val="004C10B0"/>
    <w:rsid w:val="004D3D89"/>
    <w:rsid w:val="004D4AE1"/>
    <w:rsid w:val="004E2193"/>
    <w:rsid w:val="004E2FA1"/>
    <w:rsid w:val="004E3EC8"/>
    <w:rsid w:val="004F2810"/>
    <w:rsid w:val="004F6381"/>
    <w:rsid w:val="00501301"/>
    <w:rsid w:val="00507706"/>
    <w:rsid w:val="0050773E"/>
    <w:rsid w:val="005108E7"/>
    <w:rsid w:val="0051479E"/>
    <w:rsid w:val="00523B85"/>
    <w:rsid w:val="00523BB5"/>
    <w:rsid w:val="00525087"/>
    <w:rsid w:val="00525925"/>
    <w:rsid w:val="00530335"/>
    <w:rsid w:val="005307E8"/>
    <w:rsid w:val="005318AC"/>
    <w:rsid w:val="00532369"/>
    <w:rsid w:val="005353FF"/>
    <w:rsid w:val="00536CE7"/>
    <w:rsid w:val="0054050E"/>
    <w:rsid w:val="005408B0"/>
    <w:rsid w:val="0054128D"/>
    <w:rsid w:val="0055519A"/>
    <w:rsid w:val="005608FF"/>
    <w:rsid w:val="00561E7A"/>
    <w:rsid w:val="0056480B"/>
    <w:rsid w:val="005653B9"/>
    <w:rsid w:val="0057415E"/>
    <w:rsid w:val="00574A55"/>
    <w:rsid w:val="0057502A"/>
    <w:rsid w:val="00583221"/>
    <w:rsid w:val="005877B5"/>
    <w:rsid w:val="00591360"/>
    <w:rsid w:val="00591891"/>
    <w:rsid w:val="00592AC8"/>
    <w:rsid w:val="00595BE3"/>
    <w:rsid w:val="00596A03"/>
    <w:rsid w:val="00596D8D"/>
    <w:rsid w:val="00597750"/>
    <w:rsid w:val="005A2C65"/>
    <w:rsid w:val="005A51F0"/>
    <w:rsid w:val="005B4088"/>
    <w:rsid w:val="005B6093"/>
    <w:rsid w:val="005C14F3"/>
    <w:rsid w:val="005C18D2"/>
    <w:rsid w:val="005C1D46"/>
    <w:rsid w:val="005C271C"/>
    <w:rsid w:val="005C29FF"/>
    <w:rsid w:val="005C5DCF"/>
    <w:rsid w:val="005D373C"/>
    <w:rsid w:val="005D42AE"/>
    <w:rsid w:val="005E51BD"/>
    <w:rsid w:val="005F078C"/>
    <w:rsid w:val="005F33E1"/>
    <w:rsid w:val="005F3942"/>
    <w:rsid w:val="005F5CF0"/>
    <w:rsid w:val="006036CD"/>
    <w:rsid w:val="00606B17"/>
    <w:rsid w:val="00610B0D"/>
    <w:rsid w:val="006153BA"/>
    <w:rsid w:val="00615951"/>
    <w:rsid w:val="0061725A"/>
    <w:rsid w:val="0062124F"/>
    <w:rsid w:val="006232D6"/>
    <w:rsid w:val="00624591"/>
    <w:rsid w:val="00624981"/>
    <w:rsid w:val="00626329"/>
    <w:rsid w:val="0062663D"/>
    <w:rsid w:val="00626708"/>
    <w:rsid w:val="00633E62"/>
    <w:rsid w:val="00635857"/>
    <w:rsid w:val="006374BC"/>
    <w:rsid w:val="006401C1"/>
    <w:rsid w:val="00641954"/>
    <w:rsid w:val="00641F12"/>
    <w:rsid w:val="006455DD"/>
    <w:rsid w:val="00650EEE"/>
    <w:rsid w:val="006550A9"/>
    <w:rsid w:val="00664258"/>
    <w:rsid w:val="00664DEB"/>
    <w:rsid w:val="00670320"/>
    <w:rsid w:val="006708D4"/>
    <w:rsid w:val="00671B7E"/>
    <w:rsid w:val="0067479A"/>
    <w:rsid w:val="0067616C"/>
    <w:rsid w:val="006829BA"/>
    <w:rsid w:val="006835BF"/>
    <w:rsid w:val="00693F83"/>
    <w:rsid w:val="00694591"/>
    <w:rsid w:val="00694A30"/>
    <w:rsid w:val="00694CBB"/>
    <w:rsid w:val="00696602"/>
    <w:rsid w:val="00697D47"/>
    <w:rsid w:val="006A00A8"/>
    <w:rsid w:val="006A02DA"/>
    <w:rsid w:val="006A0925"/>
    <w:rsid w:val="006A2D24"/>
    <w:rsid w:val="006A3A33"/>
    <w:rsid w:val="006A5C6A"/>
    <w:rsid w:val="006A697F"/>
    <w:rsid w:val="006B0404"/>
    <w:rsid w:val="006B0ED0"/>
    <w:rsid w:val="006B3BFF"/>
    <w:rsid w:val="006C1022"/>
    <w:rsid w:val="006C3FDA"/>
    <w:rsid w:val="006C4A57"/>
    <w:rsid w:val="006D1A91"/>
    <w:rsid w:val="006D5B87"/>
    <w:rsid w:val="006D6550"/>
    <w:rsid w:val="006D73F5"/>
    <w:rsid w:val="006E1A55"/>
    <w:rsid w:val="006E2522"/>
    <w:rsid w:val="006F4315"/>
    <w:rsid w:val="006F60CD"/>
    <w:rsid w:val="006F7961"/>
    <w:rsid w:val="0070453E"/>
    <w:rsid w:val="00707AD8"/>
    <w:rsid w:val="007104D4"/>
    <w:rsid w:val="00720CD8"/>
    <w:rsid w:val="007211C2"/>
    <w:rsid w:val="00724A21"/>
    <w:rsid w:val="007278AA"/>
    <w:rsid w:val="00730292"/>
    <w:rsid w:val="007307A4"/>
    <w:rsid w:val="00730FA2"/>
    <w:rsid w:val="00734F8D"/>
    <w:rsid w:val="00736156"/>
    <w:rsid w:val="00741D2B"/>
    <w:rsid w:val="007434FA"/>
    <w:rsid w:val="00743C40"/>
    <w:rsid w:val="0075294F"/>
    <w:rsid w:val="00756D1F"/>
    <w:rsid w:val="00761E9C"/>
    <w:rsid w:val="00762EB0"/>
    <w:rsid w:val="00764D3E"/>
    <w:rsid w:val="00770282"/>
    <w:rsid w:val="00773513"/>
    <w:rsid w:val="0077425E"/>
    <w:rsid w:val="00774E25"/>
    <w:rsid w:val="00777123"/>
    <w:rsid w:val="007813F9"/>
    <w:rsid w:val="007818F3"/>
    <w:rsid w:val="00784CA6"/>
    <w:rsid w:val="00787ADE"/>
    <w:rsid w:val="00791536"/>
    <w:rsid w:val="00792B7C"/>
    <w:rsid w:val="007948EB"/>
    <w:rsid w:val="007A058C"/>
    <w:rsid w:val="007A0A66"/>
    <w:rsid w:val="007A1763"/>
    <w:rsid w:val="007A29E7"/>
    <w:rsid w:val="007A4012"/>
    <w:rsid w:val="007B42C6"/>
    <w:rsid w:val="007B44FE"/>
    <w:rsid w:val="007B4D1F"/>
    <w:rsid w:val="007B50C1"/>
    <w:rsid w:val="007C09AC"/>
    <w:rsid w:val="007C09C5"/>
    <w:rsid w:val="007C302E"/>
    <w:rsid w:val="007C4405"/>
    <w:rsid w:val="007D51EC"/>
    <w:rsid w:val="007D608B"/>
    <w:rsid w:val="007D671D"/>
    <w:rsid w:val="007D7D5D"/>
    <w:rsid w:val="007E3C85"/>
    <w:rsid w:val="007E4F5C"/>
    <w:rsid w:val="007E6E91"/>
    <w:rsid w:val="007E6FE1"/>
    <w:rsid w:val="007F1035"/>
    <w:rsid w:val="007F2542"/>
    <w:rsid w:val="007F2668"/>
    <w:rsid w:val="0080005B"/>
    <w:rsid w:val="008021B8"/>
    <w:rsid w:val="00803173"/>
    <w:rsid w:val="0080645A"/>
    <w:rsid w:val="00814103"/>
    <w:rsid w:val="0081698B"/>
    <w:rsid w:val="00822986"/>
    <w:rsid w:val="00822CBC"/>
    <w:rsid w:val="00823476"/>
    <w:rsid w:val="00824192"/>
    <w:rsid w:val="0083140D"/>
    <w:rsid w:val="00853EE9"/>
    <w:rsid w:val="00860FC9"/>
    <w:rsid w:val="00861532"/>
    <w:rsid w:val="008634D3"/>
    <w:rsid w:val="00865968"/>
    <w:rsid w:val="00871281"/>
    <w:rsid w:val="00872AFB"/>
    <w:rsid w:val="008739CB"/>
    <w:rsid w:val="008811AF"/>
    <w:rsid w:val="008900A3"/>
    <w:rsid w:val="00892167"/>
    <w:rsid w:val="00893062"/>
    <w:rsid w:val="0089360E"/>
    <w:rsid w:val="008A0934"/>
    <w:rsid w:val="008A6B32"/>
    <w:rsid w:val="008A709A"/>
    <w:rsid w:val="008B2D59"/>
    <w:rsid w:val="008B3148"/>
    <w:rsid w:val="008B74AE"/>
    <w:rsid w:val="008C547D"/>
    <w:rsid w:val="008D16CF"/>
    <w:rsid w:val="008D3CFF"/>
    <w:rsid w:val="008E1C61"/>
    <w:rsid w:val="008E2F40"/>
    <w:rsid w:val="008E666F"/>
    <w:rsid w:val="008E7CB3"/>
    <w:rsid w:val="008F150C"/>
    <w:rsid w:val="008F246B"/>
    <w:rsid w:val="008F249B"/>
    <w:rsid w:val="008F2D55"/>
    <w:rsid w:val="0090383E"/>
    <w:rsid w:val="00904A5D"/>
    <w:rsid w:val="00905149"/>
    <w:rsid w:val="00907FC0"/>
    <w:rsid w:val="00912CA4"/>
    <w:rsid w:val="009133C8"/>
    <w:rsid w:val="00921A0C"/>
    <w:rsid w:val="0092221E"/>
    <w:rsid w:val="00923626"/>
    <w:rsid w:val="00923940"/>
    <w:rsid w:val="00930E08"/>
    <w:rsid w:val="00935E8B"/>
    <w:rsid w:val="00937A59"/>
    <w:rsid w:val="00940663"/>
    <w:rsid w:val="0094486D"/>
    <w:rsid w:val="009454CF"/>
    <w:rsid w:val="00947212"/>
    <w:rsid w:val="0094752F"/>
    <w:rsid w:val="00950743"/>
    <w:rsid w:val="0095127F"/>
    <w:rsid w:val="00953162"/>
    <w:rsid w:val="00953499"/>
    <w:rsid w:val="00954F30"/>
    <w:rsid w:val="009567EF"/>
    <w:rsid w:val="00961292"/>
    <w:rsid w:val="009630A4"/>
    <w:rsid w:val="009670DF"/>
    <w:rsid w:val="009710D8"/>
    <w:rsid w:val="009752EA"/>
    <w:rsid w:val="00975690"/>
    <w:rsid w:val="00977036"/>
    <w:rsid w:val="009771F4"/>
    <w:rsid w:val="00980557"/>
    <w:rsid w:val="00980DEC"/>
    <w:rsid w:val="00983E5E"/>
    <w:rsid w:val="0099146B"/>
    <w:rsid w:val="0099794B"/>
    <w:rsid w:val="009A138E"/>
    <w:rsid w:val="009A3260"/>
    <w:rsid w:val="009A50A9"/>
    <w:rsid w:val="009B0449"/>
    <w:rsid w:val="009B0B63"/>
    <w:rsid w:val="009B1D36"/>
    <w:rsid w:val="009B3D98"/>
    <w:rsid w:val="009B5256"/>
    <w:rsid w:val="009B7C75"/>
    <w:rsid w:val="009C6A23"/>
    <w:rsid w:val="009C770E"/>
    <w:rsid w:val="009D250E"/>
    <w:rsid w:val="009D30D3"/>
    <w:rsid w:val="009D3815"/>
    <w:rsid w:val="009D476A"/>
    <w:rsid w:val="009D6B6A"/>
    <w:rsid w:val="009E340B"/>
    <w:rsid w:val="009E392A"/>
    <w:rsid w:val="009E606D"/>
    <w:rsid w:val="009E7C3F"/>
    <w:rsid w:val="009F4496"/>
    <w:rsid w:val="009F7810"/>
    <w:rsid w:val="00A06B25"/>
    <w:rsid w:val="00A108C7"/>
    <w:rsid w:val="00A134BF"/>
    <w:rsid w:val="00A21B89"/>
    <w:rsid w:val="00A23DC4"/>
    <w:rsid w:val="00A23F5F"/>
    <w:rsid w:val="00A251A7"/>
    <w:rsid w:val="00A27CAC"/>
    <w:rsid w:val="00A32201"/>
    <w:rsid w:val="00A32E78"/>
    <w:rsid w:val="00A3713F"/>
    <w:rsid w:val="00A372AD"/>
    <w:rsid w:val="00A40723"/>
    <w:rsid w:val="00A412B4"/>
    <w:rsid w:val="00A44B16"/>
    <w:rsid w:val="00A452E4"/>
    <w:rsid w:val="00A47CEF"/>
    <w:rsid w:val="00A51B51"/>
    <w:rsid w:val="00A537DF"/>
    <w:rsid w:val="00A54848"/>
    <w:rsid w:val="00A548C1"/>
    <w:rsid w:val="00A56A81"/>
    <w:rsid w:val="00A7019B"/>
    <w:rsid w:val="00A70B16"/>
    <w:rsid w:val="00A71F12"/>
    <w:rsid w:val="00A8391F"/>
    <w:rsid w:val="00A84067"/>
    <w:rsid w:val="00A87A8F"/>
    <w:rsid w:val="00A90646"/>
    <w:rsid w:val="00AA4E78"/>
    <w:rsid w:val="00AA4FD3"/>
    <w:rsid w:val="00AB12AB"/>
    <w:rsid w:val="00AB2D1F"/>
    <w:rsid w:val="00AC1FD3"/>
    <w:rsid w:val="00AC415C"/>
    <w:rsid w:val="00AD314C"/>
    <w:rsid w:val="00AE0699"/>
    <w:rsid w:val="00AE2FFA"/>
    <w:rsid w:val="00AE5F5F"/>
    <w:rsid w:val="00AE648A"/>
    <w:rsid w:val="00AE71D7"/>
    <w:rsid w:val="00AF0136"/>
    <w:rsid w:val="00AF0BDC"/>
    <w:rsid w:val="00AF44F4"/>
    <w:rsid w:val="00B00173"/>
    <w:rsid w:val="00B003BB"/>
    <w:rsid w:val="00B0249C"/>
    <w:rsid w:val="00B0640E"/>
    <w:rsid w:val="00B10A40"/>
    <w:rsid w:val="00B11DE3"/>
    <w:rsid w:val="00B209DC"/>
    <w:rsid w:val="00B20D7F"/>
    <w:rsid w:val="00B31AB9"/>
    <w:rsid w:val="00B31CB0"/>
    <w:rsid w:val="00B33374"/>
    <w:rsid w:val="00B4139B"/>
    <w:rsid w:val="00B52C59"/>
    <w:rsid w:val="00B60404"/>
    <w:rsid w:val="00B624F8"/>
    <w:rsid w:val="00B6412C"/>
    <w:rsid w:val="00B66832"/>
    <w:rsid w:val="00B71B55"/>
    <w:rsid w:val="00B71B7A"/>
    <w:rsid w:val="00B74EF3"/>
    <w:rsid w:val="00B779E8"/>
    <w:rsid w:val="00B8389C"/>
    <w:rsid w:val="00B870CE"/>
    <w:rsid w:val="00B87569"/>
    <w:rsid w:val="00B876B2"/>
    <w:rsid w:val="00B90BFE"/>
    <w:rsid w:val="00B92C28"/>
    <w:rsid w:val="00B94272"/>
    <w:rsid w:val="00BA7076"/>
    <w:rsid w:val="00BA707A"/>
    <w:rsid w:val="00BA7741"/>
    <w:rsid w:val="00BA7FEA"/>
    <w:rsid w:val="00BB0894"/>
    <w:rsid w:val="00BB169E"/>
    <w:rsid w:val="00BB3113"/>
    <w:rsid w:val="00BB31E1"/>
    <w:rsid w:val="00BB4273"/>
    <w:rsid w:val="00BC15CE"/>
    <w:rsid w:val="00BC25E0"/>
    <w:rsid w:val="00BC417B"/>
    <w:rsid w:val="00BC4657"/>
    <w:rsid w:val="00BD1BFF"/>
    <w:rsid w:val="00BD33FA"/>
    <w:rsid w:val="00BD614A"/>
    <w:rsid w:val="00BD6E83"/>
    <w:rsid w:val="00BE0F95"/>
    <w:rsid w:val="00BE556E"/>
    <w:rsid w:val="00BF1D4F"/>
    <w:rsid w:val="00BF214F"/>
    <w:rsid w:val="00BF7B01"/>
    <w:rsid w:val="00C0171E"/>
    <w:rsid w:val="00C01926"/>
    <w:rsid w:val="00C06014"/>
    <w:rsid w:val="00C134DE"/>
    <w:rsid w:val="00C13A27"/>
    <w:rsid w:val="00C17CE9"/>
    <w:rsid w:val="00C26A37"/>
    <w:rsid w:val="00C26FA6"/>
    <w:rsid w:val="00C30C9D"/>
    <w:rsid w:val="00C3109F"/>
    <w:rsid w:val="00C319CB"/>
    <w:rsid w:val="00C33854"/>
    <w:rsid w:val="00C343F2"/>
    <w:rsid w:val="00C34B06"/>
    <w:rsid w:val="00C41AC6"/>
    <w:rsid w:val="00C4374F"/>
    <w:rsid w:val="00C45DB6"/>
    <w:rsid w:val="00C47123"/>
    <w:rsid w:val="00C51E15"/>
    <w:rsid w:val="00C56F63"/>
    <w:rsid w:val="00C60686"/>
    <w:rsid w:val="00C60AE6"/>
    <w:rsid w:val="00C6102C"/>
    <w:rsid w:val="00C61F01"/>
    <w:rsid w:val="00C64896"/>
    <w:rsid w:val="00C67187"/>
    <w:rsid w:val="00C75230"/>
    <w:rsid w:val="00C771DA"/>
    <w:rsid w:val="00C77C3A"/>
    <w:rsid w:val="00C84C1C"/>
    <w:rsid w:val="00C858CD"/>
    <w:rsid w:val="00C87868"/>
    <w:rsid w:val="00C91DA7"/>
    <w:rsid w:val="00C92F1C"/>
    <w:rsid w:val="00C967F9"/>
    <w:rsid w:val="00CA3AF2"/>
    <w:rsid w:val="00CB101B"/>
    <w:rsid w:val="00CC13AC"/>
    <w:rsid w:val="00CC245A"/>
    <w:rsid w:val="00CC452A"/>
    <w:rsid w:val="00CC5FDF"/>
    <w:rsid w:val="00CC6829"/>
    <w:rsid w:val="00CC721B"/>
    <w:rsid w:val="00CD02FB"/>
    <w:rsid w:val="00CD0697"/>
    <w:rsid w:val="00CD1B75"/>
    <w:rsid w:val="00CD2591"/>
    <w:rsid w:val="00CD3C78"/>
    <w:rsid w:val="00CD4A72"/>
    <w:rsid w:val="00CE31D8"/>
    <w:rsid w:val="00CF0BC0"/>
    <w:rsid w:val="00CF3ED4"/>
    <w:rsid w:val="00D006FF"/>
    <w:rsid w:val="00D05AF6"/>
    <w:rsid w:val="00D06F25"/>
    <w:rsid w:val="00D13828"/>
    <w:rsid w:val="00D140EE"/>
    <w:rsid w:val="00D15656"/>
    <w:rsid w:val="00D162F0"/>
    <w:rsid w:val="00D16B9B"/>
    <w:rsid w:val="00D178E6"/>
    <w:rsid w:val="00D17C87"/>
    <w:rsid w:val="00D20D55"/>
    <w:rsid w:val="00D23F75"/>
    <w:rsid w:val="00D2567D"/>
    <w:rsid w:val="00D26111"/>
    <w:rsid w:val="00D26B60"/>
    <w:rsid w:val="00D44B37"/>
    <w:rsid w:val="00D46275"/>
    <w:rsid w:val="00D51449"/>
    <w:rsid w:val="00D5208B"/>
    <w:rsid w:val="00D52E24"/>
    <w:rsid w:val="00D52E4C"/>
    <w:rsid w:val="00D550FF"/>
    <w:rsid w:val="00D559B5"/>
    <w:rsid w:val="00D57BED"/>
    <w:rsid w:val="00D70CBE"/>
    <w:rsid w:val="00D73A0C"/>
    <w:rsid w:val="00D81BBE"/>
    <w:rsid w:val="00D81E1D"/>
    <w:rsid w:val="00D8395A"/>
    <w:rsid w:val="00D8555C"/>
    <w:rsid w:val="00D85A31"/>
    <w:rsid w:val="00D86E20"/>
    <w:rsid w:val="00D90D99"/>
    <w:rsid w:val="00D971AB"/>
    <w:rsid w:val="00DA151E"/>
    <w:rsid w:val="00DA4D24"/>
    <w:rsid w:val="00DA6432"/>
    <w:rsid w:val="00DA7404"/>
    <w:rsid w:val="00DB7BD3"/>
    <w:rsid w:val="00DC31A6"/>
    <w:rsid w:val="00DC7846"/>
    <w:rsid w:val="00DC79F4"/>
    <w:rsid w:val="00DD07CC"/>
    <w:rsid w:val="00DD1D52"/>
    <w:rsid w:val="00DD2CB6"/>
    <w:rsid w:val="00DD54AC"/>
    <w:rsid w:val="00DD559F"/>
    <w:rsid w:val="00DD74DC"/>
    <w:rsid w:val="00DD770B"/>
    <w:rsid w:val="00DE1840"/>
    <w:rsid w:val="00DE47AA"/>
    <w:rsid w:val="00DE51EB"/>
    <w:rsid w:val="00DE6BE8"/>
    <w:rsid w:val="00DE710D"/>
    <w:rsid w:val="00DE7770"/>
    <w:rsid w:val="00DF19AF"/>
    <w:rsid w:val="00DF2C38"/>
    <w:rsid w:val="00DF2E3B"/>
    <w:rsid w:val="00DF4525"/>
    <w:rsid w:val="00DF55F8"/>
    <w:rsid w:val="00DF6F8C"/>
    <w:rsid w:val="00E018E1"/>
    <w:rsid w:val="00E02BBF"/>
    <w:rsid w:val="00E04627"/>
    <w:rsid w:val="00E0489B"/>
    <w:rsid w:val="00E0623A"/>
    <w:rsid w:val="00E07BD6"/>
    <w:rsid w:val="00E07FDD"/>
    <w:rsid w:val="00E14963"/>
    <w:rsid w:val="00E1660C"/>
    <w:rsid w:val="00E21C22"/>
    <w:rsid w:val="00E21EC7"/>
    <w:rsid w:val="00E237EB"/>
    <w:rsid w:val="00E24AD9"/>
    <w:rsid w:val="00E345D5"/>
    <w:rsid w:val="00E34D89"/>
    <w:rsid w:val="00E42729"/>
    <w:rsid w:val="00E52D86"/>
    <w:rsid w:val="00E54852"/>
    <w:rsid w:val="00E624CA"/>
    <w:rsid w:val="00E626D9"/>
    <w:rsid w:val="00E62E75"/>
    <w:rsid w:val="00E65714"/>
    <w:rsid w:val="00E7024A"/>
    <w:rsid w:val="00E70F58"/>
    <w:rsid w:val="00E71D8F"/>
    <w:rsid w:val="00E81E24"/>
    <w:rsid w:val="00E823D8"/>
    <w:rsid w:val="00E826CF"/>
    <w:rsid w:val="00E84779"/>
    <w:rsid w:val="00E85208"/>
    <w:rsid w:val="00E866CE"/>
    <w:rsid w:val="00E91039"/>
    <w:rsid w:val="00E91E3B"/>
    <w:rsid w:val="00E94575"/>
    <w:rsid w:val="00E96ED5"/>
    <w:rsid w:val="00E97C9D"/>
    <w:rsid w:val="00EA7AD4"/>
    <w:rsid w:val="00EB096E"/>
    <w:rsid w:val="00EB3BCF"/>
    <w:rsid w:val="00EB57F0"/>
    <w:rsid w:val="00EC3CD7"/>
    <w:rsid w:val="00EC3D2D"/>
    <w:rsid w:val="00EC6B2F"/>
    <w:rsid w:val="00ED0A5C"/>
    <w:rsid w:val="00ED1B1F"/>
    <w:rsid w:val="00ED6F16"/>
    <w:rsid w:val="00EE0A50"/>
    <w:rsid w:val="00EE1DA5"/>
    <w:rsid w:val="00EE34ED"/>
    <w:rsid w:val="00EE4BEA"/>
    <w:rsid w:val="00EE52E7"/>
    <w:rsid w:val="00EF0F5F"/>
    <w:rsid w:val="00EF1828"/>
    <w:rsid w:val="00EF1C4C"/>
    <w:rsid w:val="00EF4669"/>
    <w:rsid w:val="00EF5325"/>
    <w:rsid w:val="00F02ACD"/>
    <w:rsid w:val="00F02B85"/>
    <w:rsid w:val="00F032E5"/>
    <w:rsid w:val="00F041A3"/>
    <w:rsid w:val="00F075DA"/>
    <w:rsid w:val="00F13FC8"/>
    <w:rsid w:val="00F2027F"/>
    <w:rsid w:val="00F20EF7"/>
    <w:rsid w:val="00F2119F"/>
    <w:rsid w:val="00F240AF"/>
    <w:rsid w:val="00F26029"/>
    <w:rsid w:val="00F26AB8"/>
    <w:rsid w:val="00F321C9"/>
    <w:rsid w:val="00F326CF"/>
    <w:rsid w:val="00F36DC2"/>
    <w:rsid w:val="00F36EF0"/>
    <w:rsid w:val="00F42B36"/>
    <w:rsid w:val="00F52E60"/>
    <w:rsid w:val="00F54240"/>
    <w:rsid w:val="00F57094"/>
    <w:rsid w:val="00F6034F"/>
    <w:rsid w:val="00F620B6"/>
    <w:rsid w:val="00F62B20"/>
    <w:rsid w:val="00F63B9C"/>
    <w:rsid w:val="00F67745"/>
    <w:rsid w:val="00F70B00"/>
    <w:rsid w:val="00F71F01"/>
    <w:rsid w:val="00F72853"/>
    <w:rsid w:val="00F73EEC"/>
    <w:rsid w:val="00F74591"/>
    <w:rsid w:val="00F74B4D"/>
    <w:rsid w:val="00F74E5F"/>
    <w:rsid w:val="00F8043D"/>
    <w:rsid w:val="00F82D08"/>
    <w:rsid w:val="00F844D0"/>
    <w:rsid w:val="00F85F29"/>
    <w:rsid w:val="00F870B5"/>
    <w:rsid w:val="00F9045E"/>
    <w:rsid w:val="00F90708"/>
    <w:rsid w:val="00F95C00"/>
    <w:rsid w:val="00FB015C"/>
    <w:rsid w:val="00FB1370"/>
    <w:rsid w:val="00FC1DD2"/>
    <w:rsid w:val="00FC39B5"/>
    <w:rsid w:val="00FC3EF7"/>
    <w:rsid w:val="00FC4D29"/>
    <w:rsid w:val="00FC7C0A"/>
    <w:rsid w:val="00FD45E2"/>
    <w:rsid w:val="00FE0B3D"/>
    <w:rsid w:val="00FE3A1E"/>
    <w:rsid w:val="00FE64C8"/>
    <w:rsid w:val="00FE70AC"/>
    <w:rsid w:val="00FF3134"/>
    <w:rsid w:val="00FF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04627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013638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i/>
      <w:iCs/>
      <w:sz w:val="20"/>
      <w:szCs w:val="20"/>
      <w:lang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character" w:customStyle="1" w:styleId="Titolo3Carattere">
    <w:name w:val="Titolo 3 Carattere"/>
    <w:link w:val="Titolo3"/>
    <w:rsid w:val="00013638"/>
    <w:rPr>
      <w:b/>
      <w:bCs/>
      <w:i/>
      <w:iCs/>
    </w:rPr>
  </w:style>
  <w:style w:type="paragraph" w:styleId="Testonotaapidipagina">
    <w:name w:val="footnote text"/>
    <w:basedOn w:val="Normale"/>
    <w:semiHidden/>
    <w:rsid w:val="002E184B"/>
    <w:rPr>
      <w:sz w:val="20"/>
      <w:szCs w:val="20"/>
    </w:rPr>
  </w:style>
  <w:style w:type="paragraph" w:styleId="Corpodeltesto2">
    <w:name w:val="Body Text 2"/>
    <w:basedOn w:val="Normale"/>
    <w:rsid w:val="002E184B"/>
    <w:pPr>
      <w:tabs>
        <w:tab w:val="left" w:pos="4253"/>
        <w:tab w:val="left" w:pos="5103"/>
        <w:tab w:val="right" w:pos="5387"/>
        <w:tab w:val="left" w:pos="5500"/>
        <w:tab w:val="left" w:pos="6804"/>
        <w:tab w:val="right" w:pos="7201"/>
        <w:tab w:val="right" w:pos="8392"/>
      </w:tabs>
      <w:spacing w:before="120"/>
      <w:jc w:val="both"/>
    </w:pPr>
    <w:rPr>
      <w:rFonts w:ascii="Bookman Old Style" w:hAnsi="Bookman Old Style"/>
      <w:b/>
      <w:i/>
      <w:sz w:val="26"/>
    </w:rPr>
  </w:style>
  <w:style w:type="paragraph" w:customStyle="1" w:styleId="descrizioneDoc">
    <w:name w:val="descrizioneDoc"/>
    <w:basedOn w:val="Intestazione"/>
    <w:rsid w:val="002E184B"/>
    <w:pPr>
      <w:widowControl w:val="0"/>
      <w:tabs>
        <w:tab w:val="clear" w:pos="4819"/>
        <w:tab w:val="clear" w:pos="9638"/>
      </w:tabs>
      <w:autoSpaceDN w:val="0"/>
      <w:adjustRightInd w:val="0"/>
      <w:spacing w:before="170"/>
    </w:pPr>
    <w:rPr>
      <w:rFonts w:cs="Tahoma"/>
      <w:b/>
      <w:color w:val="000000"/>
      <w:sz w:val="20"/>
      <w:lang w:eastAsia="en-US"/>
    </w:rPr>
  </w:style>
  <w:style w:type="paragraph" w:styleId="Intestazione">
    <w:name w:val="header"/>
    <w:basedOn w:val="Normale"/>
    <w:rsid w:val="002E184B"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rsid w:val="002E184B"/>
    <w:rPr>
      <w:vertAlign w:val="superscript"/>
    </w:rPr>
  </w:style>
  <w:style w:type="table" w:styleId="Grigliatabella">
    <w:name w:val="Table Grid"/>
    <w:basedOn w:val="Tabellanormale"/>
    <w:rsid w:val="00C01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C91DA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74E25"/>
  </w:style>
  <w:style w:type="paragraph" w:styleId="Testofumetto">
    <w:name w:val="Balloon Text"/>
    <w:basedOn w:val="Normale"/>
    <w:semiHidden/>
    <w:rsid w:val="00CF0BC0"/>
    <w:rPr>
      <w:rFonts w:ascii="Tahoma" w:hAnsi="Tahoma" w:cs="Tahoma"/>
      <w:sz w:val="16"/>
      <w:szCs w:val="16"/>
    </w:rPr>
  </w:style>
  <w:style w:type="paragraph" w:customStyle="1" w:styleId="intestazione0">
    <w:name w:val="intestazione"/>
    <w:basedOn w:val="Normale"/>
    <w:rsid w:val="00B74EF3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8F150C"/>
    <w:rPr>
      <w:b/>
      <w:bCs/>
    </w:rPr>
  </w:style>
  <w:style w:type="character" w:customStyle="1" w:styleId="comma">
    <w:name w:val="comma"/>
    <w:rsid w:val="008F150C"/>
  </w:style>
  <w:style w:type="character" w:customStyle="1" w:styleId="apple-converted-space">
    <w:name w:val="apple-converted-space"/>
    <w:rsid w:val="008F150C"/>
  </w:style>
  <w:style w:type="character" w:customStyle="1" w:styleId="elencon">
    <w:name w:val="elenco_n"/>
    <w:rsid w:val="008F150C"/>
  </w:style>
  <w:style w:type="character" w:customStyle="1" w:styleId="numComDoc">
    <w:name w:val="numComDoc"/>
    <w:uiPriority w:val="99"/>
    <w:rsid w:val="00C343F2"/>
    <w:rPr>
      <w:rFonts w:ascii="Times New Roman" w:cs="Times New Roman"/>
      <w:sz w:val="20"/>
      <w:szCs w:val="20"/>
    </w:rPr>
  </w:style>
  <w:style w:type="character" w:customStyle="1" w:styleId="corpo">
    <w:name w:val="corpo"/>
    <w:uiPriority w:val="99"/>
    <w:rsid w:val="00C343F2"/>
    <w:rPr>
      <w:rFonts w:ascii="Times New Roman" w:cs="Times New Roman"/>
      <w:sz w:val="18"/>
      <w:szCs w:val="18"/>
    </w:rPr>
  </w:style>
  <w:style w:type="paragraph" w:customStyle="1" w:styleId="comma1">
    <w:name w:val="comma1"/>
    <w:basedOn w:val="Normale"/>
    <w:uiPriority w:val="99"/>
    <w:rsid w:val="00C343F2"/>
    <w:pPr>
      <w:widowControl w:val="0"/>
      <w:autoSpaceDE w:val="0"/>
      <w:autoSpaceDN w:val="0"/>
      <w:adjustRightInd w:val="0"/>
      <w:spacing w:before="57"/>
      <w:ind w:firstLine="170"/>
      <w:jc w:val="both"/>
    </w:pPr>
    <w:rPr>
      <w:rFonts w:eastAsia="DejaVu Serif" w:hAnsi="Calibri"/>
      <w:sz w:val="18"/>
      <w:szCs w:val="18"/>
    </w:rPr>
  </w:style>
  <w:style w:type="paragraph" w:styleId="Rientronormale">
    <w:name w:val="Normal Indent"/>
    <w:basedOn w:val="Normale"/>
    <w:semiHidden/>
    <w:rsid w:val="000E267E"/>
    <w:pPr>
      <w:ind w:left="708"/>
    </w:pPr>
  </w:style>
  <w:style w:type="character" w:styleId="Enfasicorsivo">
    <w:name w:val="Emphasis"/>
    <w:uiPriority w:val="20"/>
    <w:qFormat/>
    <w:rsid w:val="00561E7A"/>
    <w:rPr>
      <w:i/>
      <w:iCs/>
    </w:rPr>
  </w:style>
  <w:style w:type="character" w:styleId="Collegamentoipertestuale">
    <w:name w:val="Hyperlink"/>
    <w:uiPriority w:val="99"/>
    <w:unhideWhenUsed/>
    <w:rsid w:val="00E91039"/>
    <w:rPr>
      <w:color w:val="0000FF"/>
      <w:u w:val="single"/>
    </w:rPr>
  </w:style>
  <w:style w:type="character" w:styleId="Collegamentovisitato">
    <w:name w:val="FollowedHyperlink"/>
    <w:uiPriority w:val="99"/>
    <w:unhideWhenUsed/>
    <w:rsid w:val="00E9103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667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37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5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93">
      <w:bodyDiv w:val="1"/>
      <w:marLeft w:val="0"/>
      <w:marRight w:val="0"/>
      <w:marTop w:val="0"/>
      <w:marBottom w:val="6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0371">
                      <w:marLeft w:val="0"/>
                      <w:marRight w:val="3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3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8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4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825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26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5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Adempimenti art</vt:lpstr>
    </vt:vector>
  </TitlesOfParts>
  <Company>crt</Company>
  <LinksUpToDate>false</LinksUpToDate>
  <CharactersWithSpaces>18188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Adempimenti art</dc:title>
  <dc:creator>Grassi</dc:creator>
  <cp:lastModifiedBy>a.nenci</cp:lastModifiedBy>
  <cp:revision>2</cp:revision>
  <cp:lastPrinted>2020-01-09T14:21:00Z</cp:lastPrinted>
  <dcterms:created xsi:type="dcterms:W3CDTF">2021-01-11T07:11:00Z</dcterms:created>
  <dcterms:modified xsi:type="dcterms:W3CDTF">2021-01-11T07:11:00Z</dcterms:modified>
</cp:coreProperties>
</file>