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875B19">
        <w:rPr>
          <w:b/>
          <w:u w:val="single"/>
        </w:rPr>
        <w:t>ottava</w:t>
      </w:r>
      <w:r w:rsidR="00F77D3F" w:rsidRPr="004239D4">
        <w:rPr>
          <w:b/>
          <w:u w:val="single"/>
        </w:rPr>
        <w:t xml:space="preserve"> </w:t>
      </w:r>
      <w:r w:rsidR="001950E3" w:rsidRPr="004239D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</w:t>
      </w:r>
      <w:r w:rsidR="00875B19">
        <w:rPr>
          <w:b/>
        </w:rPr>
        <w:t>20</w:t>
      </w:r>
      <w:r w:rsidR="0013130C" w:rsidRPr="002C035C">
        <w:rPr>
          <w:b/>
        </w:rPr>
        <w:t>-20</w:t>
      </w:r>
      <w:r w:rsidR="004239D4">
        <w:rPr>
          <w:b/>
        </w:rPr>
        <w:t>2</w:t>
      </w:r>
      <w:r w:rsidR="00875B19">
        <w:rPr>
          <w:b/>
        </w:rPr>
        <w:t>1</w:t>
      </w:r>
      <w:r w:rsidR="003505D4">
        <w:rPr>
          <w:b/>
        </w:rPr>
        <w:t>-202</w:t>
      </w:r>
      <w:r w:rsidR="00875B19">
        <w:rPr>
          <w:b/>
        </w:rPr>
        <w:t>2</w:t>
      </w:r>
      <w:r w:rsidR="003505D4">
        <w:rPr>
          <w:b/>
        </w:rPr>
        <w:t xml:space="preserve">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EE4D3F" w:rsidRDefault="00EE4D3F" w:rsidP="00625132"/>
    <w:p w:rsidR="00041C62" w:rsidRDefault="00B42FC1" w:rsidP="00625132">
      <w:r>
        <w:t xml:space="preserve"> </w:t>
      </w:r>
    </w:p>
    <w:p w:rsidR="00B02770" w:rsidRPr="00B21322" w:rsidRDefault="00B02770" w:rsidP="00B02770">
      <w:pPr>
        <w:rPr>
          <w:rFonts w:asciiTheme="minorHAnsi" w:hAnsiTheme="minorHAnsi"/>
        </w:rPr>
      </w:pPr>
    </w:p>
    <w:p w:rsidR="009E77D0" w:rsidRPr="00B21322" w:rsidRDefault="009E77D0" w:rsidP="009E7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B21322">
        <w:rPr>
          <w:rFonts w:asciiTheme="minorHAnsi" w:hAnsiTheme="minorHAnsi"/>
          <w:b/>
        </w:rPr>
        <w:t>SPESA CORRENTE</w:t>
      </w:r>
    </w:p>
    <w:p w:rsidR="009E77D0" w:rsidRPr="00B21322" w:rsidRDefault="009E77D0" w:rsidP="009E7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B21322">
        <w:rPr>
          <w:rFonts w:asciiTheme="minorHAnsi" w:hAnsiTheme="minorHAnsi"/>
        </w:rPr>
        <w:t xml:space="preserve">VARIAZIONE IN AUMENTO MEDIANTE PRELEVAMENTO DAL FONDO </w:t>
      </w:r>
      <w:proofErr w:type="spellStart"/>
      <w:r w:rsidRPr="00B21322">
        <w:rPr>
          <w:rFonts w:asciiTheme="minorHAnsi" w:hAnsiTheme="minorHAnsi"/>
        </w:rPr>
        <w:t>DI</w:t>
      </w:r>
      <w:proofErr w:type="spellEnd"/>
      <w:r w:rsidRPr="00B21322">
        <w:rPr>
          <w:rFonts w:asciiTheme="minorHAnsi" w:hAnsiTheme="minorHAnsi"/>
        </w:rPr>
        <w:t xml:space="preserve"> RISERVA PER SPESE OBBLIGATORIE</w:t>
      </w:r>
    </w:p>
    <w:p w:rsidR="009E77D0" w:rsidRPr="00B21322" w:rsidRDefault="009E77D0" w:rsidP="009E7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B21322">
        <w:rPr>
          <w:rFonts w:asciiTheme="minorHAnsi" w:hAnsiTheme="minorHAnsi"/>
        </w:rPr>
        <w:t xml:space="preserve">(Art. 48 </w:t>
      </w:r>
      <w:proofErr w:type="spellStart"/>
      <w:r w:rsidRPr="00B21322">
        <w:rPr>
          <w:rFonts w:asciiTheme="minorHAnsi" w:hAnsiTheme="minorHAnsi"/>
        </w:rPr>
        <w:t>d.lgs</w:t>
      </w:r>
      <w:proofErr w:type="spellEnd"/>
      <w:r w:rsidRPr="00B21322">
        <w:rPr>
          <w:rFonts w:asciiTheme="minorHAnsi" w:hAnsiTheme="minorHAnsi"/>
        </w:rPr>
        <w:t xml:space="preserve"> 118/2011)   </w:t>
      </w:r>
    </w:p>
    <w:p w:rsidR="009E77D0" w:rsidRPr="00B21322" w:rsidRDefault="009E77D0" w:rsidP="00B02770">
      <w:pPr>
        <w:rPr>
          <w:rFonts w:asciiTheme="minorHAnsi" w:hAnsiTheme="minorHAnsi"/>
        </w:rPr>
      </w:pPr>
    </w:p>
    <w:tbl>
      <w:tblPr>
        <w:tblW w:w="4947" w:type="pct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6"/>
        <w:gridCol w:w="1213"/>
        <w:gridCol w:w="670"/>
        <w:gridCol w:w="1095"/>
        <w:gridCol w:w="1300"/>
        <w:gridCol w:w="4073"/>
        <w:gridCol w:w="1543"/>
        <w:gridCol w:w="1456"/>
        <w:gridCol w:w="1482"/>
        <w:gridCol w:w="2600"/>
        <w:gridCol w:w="5338"/>
      </w:tblGrid>
      <w:tr w:rsidR="008841D5" w:rsidRPr="00B21322" w:rsidTr="00C27AC8">
        <w:trPr>
          <w:trHeight w:val="945"/>
          <w:tblHeader/>
          <w:jc w:val="center"/>
        </w:trPr>
        <w:tc>
          <w:tcPr>
            <w:tcW w:w="222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79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Programma</w:t>
            </w:r>
          </w:p>
        </w:tc>
        <w:tc>
          <w:tcPr>
            <w:tcW w:w="154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52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99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9E77D0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Capitolo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</w:t>
            </w:r>
            <w:r>
              <w:rPr>
                <w:rFonts w:asciiTheme="minorHAnsi" w:hAnsiTheme="minorHAnsi"/>
                <w:b/>
              </w:rPr>
              <w:t>20</w:t>
            </w:r>
          </w:p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875B1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875B1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8841D5" w:rsidRPr="00B21322" w:rsidTr="00C27AC8">
        <w:trPr>
          <w:trHeight w:val="1217"/>
          <w:jc w:val="center"/>
        </w:trPr>
        <w:tc>
          <w:tcPr>
            <w:tcW w:w="222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20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154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110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10330</w:t>
            </w:r>
          </w:p>
        </w:tc>
        <w:tc>
          <w:tcPr>
            <w:tcW w:w="937" w:type="pct"/>
            <w:shd w:val="clear" w:color="000000" w:fill="FFFFFF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/>
              </w:rPr>
              <w:t xml:space="preserve">FONDO </w:t>
            </w:r>
            <w:proofErr w:type="spellStart"/>
            <w:r w:rsidRPr="00B21322">
              <w:rPr>
                <w:rFonts w:asciiTheme="minorHAnsi" w:hAnsiTheme="minorHAnsi"/>
              </w:rPr>
              <w:t>DI</w:t>
            </w:r>
            <w:proofErr w:type="spellEnd"/>
            <w:r w:rsidRPr="00B21322">
              <w:rPr>
                <w:rFonts w:asciiTheme="minorHAnsi" w:hAnsiTheme="minorHAnsi"/>
              </w:rPr>
              <w:t xml:space="preserve"> RISERVA PER SPESE OBBLIGATORIE SPESE CORRENTI</w:t>
            </w:r>
            <w:r w:rsidRPr="00B21322">
              <w:rPr>
                <w:rFonts w:asciiTheme="minorHAnsi" w:hAnsiTheme="minorHAnsi" w:cs="Arial"/>
              </w:rPr>
              <w:t xml:space="preserve">          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8841D5" w:rsidRPr="00B21322" w:rsidRDefault="008841D5" w:rsidP="001A69ED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15.000,00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>--</w:t>
            </w:r>
          </w:p>
        </w:tc>
        <w:tc>
          <w:tcPr>
            <w:tcW w:w="598" w:type="pct"/>
            <w:vAlign w:val="center"/>
          </w:tcPr>
          <w:p w:rsidR="008841D5" w:rsidRPr="00B21322" w:rsidRDefault="00935060" w:rsidP="009E77D0">
            <w:pPr>
              <w:jc w:val="center"/>
              <w:rPr>
                <w:rFonts w:asciiTheme="minorHAnsi" w:hAnsiTheme="minorHAnsi" w:cs="Arial"/>
              </w:rPr>
            </w:pPr>
            <w:r w:rsidRPr="00935060">
              <w:t xml:space="preserve">Segretariato generale del Consiglio regionale      </w:t>
            </w:r>
          </w:p>
        </w:tc>
        <w:tc>
          <w:tcPr>
            <w:tcW w:w="1228" w:type="pct"/>
            <w:vAlign w:val="center"/>
          </w:tcPr>
          <w:p w:rsidR="008841D5" w:rsidRPr="00B21322" w:rsidRDefault="008841D5" w:rsidP="001A69ED">
            <w:pPr>
              <w:jc w:val="both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 xml:space="preserve">Prelevamento dal fondo di riserva per </w:t>
            </w:r>
            <w:r w:rsidRPr="00135FD8">
              <w:rPr>
                <w:rFonts w:asciiTheme="minorHAnsi" w:hAnsiTheme="minorHAnsi" w:cs="Arial"/>
              </w:rPr>
              <w:t xml:space="preserve">integrazione </w:t>
            </w:r>
            <w:r>
              <w:rPr>
                <w:rFonts w:asciiTheme="minorHAnsi" w:hAnsiTheme="minorHAnsi" w:cs="Arial"/>
              </w:rPr>
              <w:t>dello</w:t>
            </w:r>
            <w:r w:rsidRPr="00135FD8">
              <w:rPr>
                <w:rFonts w:asciiTheme="minorHAnsi" w:hAnsiTheme="minorHAnsi" w:cs="Arial"/>
              </w:rPr>
              <w:t xml:space="preserve"> stanzia</w:t>
            </w:r>
            <w:r>
              <w:rPr>
                <w:rFonts w:asciiTheme="minorHAnsi" w:hAnsiTheme="minorHAnsi" w:cs="Arial"/>
              </w:rPr>
              <w:t>mento del capitolo</w:t>
            </w:r>
            <w:r w:rsidRPr="00135FD8">
              <w:rPr>
                <w:rFonts w:asciiTheme="minorHAnsi" w:hAnsiTheme="minorHAnsi" w:cs="Arial"/>
              </w:rPr>
              <w:t xml:space="preserve"> di spesa </w:t>
            </w:r>
            <w:r>
              <w:rPr>
                <w:rFonts w:asciiTheme="minorHAnsi" w:hAnsiTheme="minorHAnsi" w:cs="Arial"/>
              </w:rPr>
              <w:t>10601</w:t>
            </w:r>
            <w:r w:rsidRPr="00135FD8">
              <w:rPr>
                <w:rFonts w:asciiTheme="minorHAnsi" w:hAnsiTheme="minorHAnsi" w:cs="Arial"/>
              </w:rPr>
              <w:t xml:space="preserve"> per</w:t>
            </w:r>
            <w:r w:rsidRPr="00B21322">
              <w:rPr>
                <w:rFonts w:asciiTheme="minorHAnsi" w:hAnsiTheme="minorHAnsi" w:cs="Arial"/>
              </w:rPr>
              <w:t xml:space="preserve"> spese obbligatorie di cui all'art. 48, comma 1, lettera a), dato che sussistono i necessari presupposti normativi.</w:t>
            </w:r>
          </w:p>
        </w:tc>
      </w:tr>
      <w:tr w:rsidR="008841D5" w:rsidRPr="00B21322" w:rsidTr="00C27AC8">
        <w:trPr>
          <w:trHeight w:val="630"/>
          <w:jc w:val="center"/>
        </w:trPr>
        <w:tc>
          <w:tcPr>
            <w:tcW w:w="222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4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37" w:type="pct"/>
            <w:shd w:val="clear" w:color="000000" w:fill="FFFFFF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8841D5" w:rsidRPr="00B21322" w:rsidRDefault="008841D5" w:rsidP="001A69ED">
            <w:pPr>
              <w:pStyle w:val="Paragrafoelenco"/>
              <w:ind w:left="97"/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-1</w:t>
            </w:r>
            <w:r>
              <w:rPr>
                <w:rFonts w:asciiTheme="minorHAnsi" w:hAnsiTheme="minorHAnsi"/>
                <w:b/>
                <w:i/>
              </w:rPr>
              <w:t>5</w:t>
            </w:r>
            <w:r w:rsidRPr="00B21322">
              <w:rPr>
                <w:rFonts w:asciiTheme="minorHAnsi" w:hAnsiTheme="minorHAnsi"/>
                <w:b/>
                <w:i/>
              </w:rPr>
              <w:t>.</w:t>
            </w:r>
            <w:r>
              <w:rPr>
                <w:rFonts w:asciiTheme="minorHAnsi" w:hAnsiTheme="minorHAnsi"/>
                <w:b/>
                <w:i/>
              </w:rPr>
              <w:t>0</w:t>
            </w:r>
            <w:r w:rsidRPr="00B21322">
              <w:rPr>
                <w:rFonts w:asciiTheme="minorHAnsi" w:hAnsiTheme="minorHAnsi"/>
                <w:b/>
                <w:i/>
              </w:rPr>
              <w:t>00,00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8" w:type="pct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28" w:type="pct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841D5" w:rsidRPr="00B21322" w:rsidTr="00C27AC8">
        <w:trPr>
          <w:trHeight w:val="1491"/>
          <w:jc w:val="center"/>
        </w:trPr>
        <w:tc>
          <w:tcPr>
            <w:tcW w:w="222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54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841D5" w:rsidRPr="00B21322" w:rsidRDefault="008841D5" w:rsidP="00875B19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10601</w:t>
            </w:r>
          </w:p>
        </w:tc>
        <w:tc>
          <w:tcPr>
            <w:tcW w:w="937" w:type="pct"/>
            <w:shd w:val="clear" w:color="000000" w:fill="FFFFFF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  <w:r w:rsidRPr="00875B19">
              <w:rPr>
                <w:rFonts w:asciiTheme="minorHAnsi" w:hAnsiTheme="minorHAnsi"/>
              </w:rPr>
              <w:t xml:space="preserve">ONERI (IMPOSTA </w:t>
            </w:r>
            <w:proofErr w:type="spellStart"/>
            <w:r w:rsidRPr="00875B19">
              <w:rPr>
                <w:rFonts w:asciiTheme="minorHAnsi" w:hAnsiTheme="minorHAnsi"/>
              </w:rPr>
              <w:t>DI</w:t>
            </w:r>
            <w:proofErr w:type="spellEnd"/>
            <w:r w:rsidRPr="00875B19">
              <w:rPr>
                <w:rFonts w:asciiTheme="minorHAnsi" w:hAnsiTheme="minorHAnsi"/>
              </w:rPr>
              <w:t xml:space="preserve"> BOLLO) PER SERVIZIO </w:t>
            </w:r>
            <w:proofErr w:type="spellStart"/>
            <w:r w:rsidRPr="00875B19">
              <w:rPr>
                <w:rFonts w:asciiTheme="minorHAnsi" w:hAnsiTheme="minorHAnsi"/>
              </w:rPr>
              <w:t>DI</w:t>
            </w:r>
            <w:proofErr w:type="spellEnd"/>
            <w:r w:rsidRPr="00875B19">
              <w:rPr>
                <w:rFonts w:asciiTheme="minorHAnsi" w:hAnsiTheme="minorHAnsi"/>
              </w:rPr>
              <w:t xml:space="preserve"> TESORERIA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8841D5" w:rsidRPr="00B21322" w:rsidRDefault="008841D5" w:rsidP="001A69ED">
            <w:pPr>
              <w:pStyle w:val="Paragrafoelenco"/>
              <w:ind w:left="97"/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  <w:r w:rsidRPr="00B21322">
              <w:rPr>
                <w:rFonts w:asciiTheme="minorHAnsi" w:hAnsiTheme="minorHAnsi"/>
              </w:rPr>
              <w:t>.000,00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98" w:type="pct"/>
            <w:vAlign w:val="center"/>
          </w:tcPr>
          <w:p w:rsidR="008841D5" w:rsidRPr="00B21322" w:rsidRDefault="008841D5" w:rsidP="00875B19">
            <w:pPr>
              <w:jc w:val="center"/>
              <w:rPr>
                <w:rFonts w:asciiTheme="minorHAnsi" w:hAnsiTheme="minorHAnsi"/>
              </w:rPr>
            </w:pPr>
            <w:r>
              <w:t>Bilancio e finanze</w:t>
            </w:r>
          </w:p>
        </w:tc>
        <w:tc>
          <w:tcPr>
            <w:tcW w:w="1228" w:type="pct"/>
            <w:vAlign w:val="center"/>
          </w:tcPr>
          <w:p w:rsidR="008841D5" w:rsidRPr="00B21322" w:rsidRDefault="008841D5" w:rsidP="001A69ED">
            <w:pPr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 xml:space="preserve">Maggior fabbisogno </w:t>
            </w:r>
            <w:r>
              <w:rPr>
                <w:rFonts w:asciiTheme="minorHAnsi" w:hAnsiTheme="minorHAnsi" w:cs="Arial"/>
              </w:rPr>
              <w:t>previsto per imposta di bollo sui mandati di pagamenti emessi entro il corrente esercizio e conseguenti ai b</w:t>
            </w:r>
            <w:r w:rsidR="00935060">
              <w:rPr>
                <w:rFonts w:asciiTheme="minorHAnsi" w:hAnsiTheme="minorHAnsi" w:cs="Arial"/>
              </w:rPr>
              <w:t>andi in corso di predisposizione,</w:t>
            </w:r>
            <w:r>
              <w:rPr>
                <w:rFonts w:asciiTheme="minorHAnsi" w:hAnsiTheme="minorHAnsi" w:cs="Arial"/>
              </w:rPr>
              <w:t xml:space="preserve"> di cui alle leggi regionali n. 52 e 53 del 2020.</w:t>
            </w:r>
            <w:r w:rsidRPr="00B21322">
              <w:rPr>
                <w:rFonts w:asciiTheme="minorHAnsi" w:hAnsiTheme="minorHAnsi" w:cs="Arial"/>
              </w:rPr>
              <w:t xml:space="preserve"> Si chiede pertanto una integrazione di 1</w:t>
            </w:r>
            <w:r>
              <w:rPr>
                <w:rFonts w:asciiTheme="minorHAnsi" w:hAnsiTheme="minorHAnsi" w:cs="Arial"/>
              </w:rPr>
              <w:t>5</w:t>
            </w:r>
            <w:r w:rsidRPr="00B21322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000,00 euro </w:t>
            </w:r>
            <w:r w:rsidRPr="00B21322">
              <w:rPr>
                <w:rFonts w:asciiTheme="minorHAnsi" w:hAnsiTheme="minorHAnsi" w:cs="Arial"/>
              </w:rPr>
              <w:t>dello stanziamento del pertinente capitolo di spesa</w:t>
            </w:r>
            <w:r>
              <w:rPr>
                <w:rFonts w:asciiTheme="minorHAnsi" w:hAnsiTheme="minorHAnsi" w:cs="Arial"/>
              </w:rPr>
              <w:t xml:space="preserve"> 10601</w:t>
            </w:r>
            <w:r w:rsidRPr="00B21322">
              <w:rPr>
                <w:rFonts w:asciiTheme="minorHAnsi" w:hAnsiTheme="minorHAnsi" w:cs="Arial"/>
              </w:rPr>
              <w:t xml:space="preserve"> mediante prelevamento dal fondo di riserva per spese obbligatorie di cui all'art. 48, comma 1, lettera a), dato che sussistono i necessari presupposti normativi.</w:t>
            </w:r>
          </w:p>
        </w:tc>
      </w:tr>
      <w:tr w:rsidR="008841D5" w:rsidRPr="00B21322" w:rsidTr="00C27AC8">
        <w:trPr>
          <w:trHeight w:val="630"/>
          <w:jc w:val="center"/>
        </w:trPr>
        <w:tc>
          <w:tcPr>
            <w:tcW w:w="222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4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37" w:type="pct"/>
            <w:shd w:val="clear" w:color="000000" w:fill="FFFFFF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8841D5" w:rsidRPr="00B21322" w:rsidRDefault="008841D5" w:rsidP="001A69ED">
            <w:pPr>
              <w:pStyle w:val="Paragrafoelenco"/>
              <w:ind w:left="97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15</w:t>
            </w:r>
            <w:r w:rsidRPr="00B21322">
              <w:rPr>
                <w:rFonts w:asciiTheme="minorHAnsi" w:hAnsiTheme="minorHAnsi"/>
                <w:b/>
                <w:i/>
              </w:rPr>
              <w:t>.</w:t>
            </w:r>
            <w:r>
              <w:rPr>
                <w:rFonts w:asciiTheme="minorHAnsi" w:hAnsiTheme="minorHAnsi"/>
                <w:b/>
                <w:i/>
              </w:rPr>
              <w:t>0</w:t>
            </w:r>
            <w:r w:rsidRPr="00B21322">
              <w:rPr>
                <w:rFonts w:asciiTheme="minorHAnsi" w:hAnsiTheme="minorHAnsi"/>
                <w:b/>
                <w:i/>
              </w:rPr>
              <w:t>00,00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8" w:type="pct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28" w:type="pct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FA634B" w:rsidRDefault="00FA634B" w:rsidP="00B02770">
      <w:pPr>
        <w:rPr>
          <w:rFonts w:asciiTheme="minorHAnsi" w:hAnsiTheme="minorHAnsi"/>
        </w:rPr>
      </w:pPr>
    </w:p>
    <w:p w:rsidR="00FA634B" w:rsidRDefault="00FA634B" w:rsidP="00B02770">
      <w:pPr>
        <w:rPr>
          <w:rFonts w:asciiTheme="minorHAnsi" w:hAnsiTheme="minorHAnsi"/>
        </w:rPr>
      </w:pPr>
    </w:p>
    <w:p w:rsidR="00FA634B" w:rsidRPr="00B21322" w:rsidRDefault="00FA634B" w:rsidP="00FA6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B21322">
        <w:rPr>
          <w:rFonts w:asciiTheme="minorHAnsi" w:hAnsiTheme="minorHAnsi"/>
          <w:b/>
        </w:rPr>
        <w:t>SPESA CORRENTE</w:t>
      </w:r>
    </w:p>
    <w:p w:rsidR="00FA634B" w:rsidRPr="00B21322" w:rsidRDefault="00FA634B" w:rsidP="00FA6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B21322">
        <w:rPr>
          <w:rFonts w:asciiTheme="minorHAnsi" w:hAnsiTheme="minorHAnsi"/>
        </w:rPr>
        <w:t>VARIAZIONI COMPENSATIVE TRA CAPITOLI</w:t>
      </w:r>
    </w:p>
    <w:p w:rsidR="00FA634B" w:rsidRDefault="00FA634B" w:rsidP="00041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B21322">
        <w:rPr>
          <w:rFonts w:asciiTheme="minorHAnsi" w:hAnsiTheme="minorHAnsi"/>
        </w:rPr>
        <w:t xml:space="preserve">(Art. 51 </w:t>
      </w:r>
      <w:proofErr w:type="spellStart"/>
      <w:r w:rsidRPr="00B21322">
        <w:rPr>
          <w:rFonts w:asciiTheme="minorHAnsi" w:hAnsiTheme="minorHAnsi"/>
        </w:rPr>
        <w:t>d.lgs</w:t>
      </w:r>
      <w:proofErr w:type="spellEnd"/>
      <w:r w:rsidRPr="00B21322">
        <w:rPr>
          <w:rFonts w:asciiTheme="minorHAnsi" w:hAnsiTheme="minorHAnsi"/>
        </w:rPr>
        <w:t xml:space="preserve"> 118/2011)   </w:t>
      </w:r>
    </w:p>
    <w:p w:rsidR="00FA634B" w:rsidRPr="00B21322" w:rsidRDefault="00FA634B" w:rsidP="00B02770">
      <w:pPr>
        <w:rPr>
          <w:rFonts w:asciiTheme="minorHAnsi" w:hAnsiTheme="minorHAnsi"/>
        </w:rPr>
      </w:pPr>
    </w:p>
    <w:tbl>
      <w:tblPr>
        <w:tblW w:w="5073" w:type="pct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6"/>
        <w:gridCol w:w="670"/>
        <w:gridCol w:w="1074"/>
        <w:gridCol w:w="1275"/>
        <w:gridCol w:w="4008"/>
        <w:gridCol w:w="1516"/>
        <w:gridCol w:w="1431"/>
        <w:gridCol w:w="1453"/>
        <w:gridCol w:w="3116"/>
        <w:gridCol w:w="5568"/>
      </w:tblGrid>
      <w:tr w:rsidR="00C27AC8" w:rsidRPr="00B21322" w:rsidTr="00935060">
        <w:trPr>
          <w:trHeight w:val="945"/>
          <w:tblHeader/>
          <w:jc w:val="center"/>
        </w:trPr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73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Programma</w:t>
            </w:r>
          </w:p>
        </w:tc>
        <w:tc>
          <w:tcPr>
            <w:tcW w:w="150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1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86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0D271C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Capitolo</w:t>
            </w:r>
          </w:p>
        </w:tc>
        <w:tc>
          <w:tcPr>
            <w:tcW w:w="899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93506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</w:t>
            </w:r>
            <w:r>
              <w:rPr>
                <w:rFonts w:asciiTheme="minorHAnsi" w:hAnsiTheme="minorHAnsi"/>
                <w:b/>
              </w:rPr>
              <w:t>20</w:t>
            </w:r>
          </w:p>
          <w:p w:rsidR="008841D5" w:rsidRPr="00B21322" w:rsidRDefault="008841D5" w:rsidP="0093506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93506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93506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699" w:type="pct"/>
            <w:shd w:val="clear" w:color="auto" w:fill="D9D9D9" w:themeFill="background1" w:themeFillShade="D9"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49" w:type="pct"/>
            <w:shd w:val="clear" w:color="auto" w:fill="D9D9D9" w:themeFill="background1" w:themeFillShade="D9"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C27AC8" w:rsidRPr="00B21322" w:rsidTr="00935060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103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10359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 w:rsidRPr="008841D5">
              <w:rPr>
                <w:rFonts w:asciiTheme="minorHAnsi" w:hAnsiTheme="minorHAnsi"/>
              </w:rPr>
              <w:t xml:space="preserve">FESTA DELLA TOSCANA </w:t>
            </w:r>
            <w:proofErr w:type="spellStart"/>
            <w:r w:rsidRPr="008841D5">
              <w:rPr>
                <w:rFonts w:asciiTheme="minorHAnsi" w:hAnsiTheme="minorHAnsi"/>
              </w:rPr>
              <w:t>L.R</w:t>
            </w:r>
            <w:proofErr w:type="spellEnd"/>
            <w:r w:rsidRPr="008841D5">
              <w:rPr>
                <w:rFonts w:asciiTheme="minorHAnsi" w:hAnsiTheme="minorHAnsi"/>
              </w:rPr>
              <w:t xml:space="preserve"> 46/2015 - SERVIZI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8841D5" w:rsidRPr="00B21322" w:rsidRDefault="008841D5" w:rsidP="00BB7F4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8841D5">
              <w:rPr>
                <w:rFonts w:asciiTheme="minorHAnsi" w:hAnsiTheme="minorHAnsi"/>
              </w:rPr>
              <w:t>5.393,86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9" w:type="pct"/>
            <w:vAlign w:val="center"/>
          </w:tcPr>
          <w:p w:rsidR="008841D5" w:rsidRPr="00B21322" w:rsidRDefault="00935060" w:rsidP="00FB1E29">
            <w:pPr>
              <w:jc w:val="center"/>
              <w:rPr>
                <w:rFonts w:asciiTheme="minorHAnsi" w:hAnsiTheme="minorHAnsi"/>
              </w:rPr>
            </w:pPr>
            <w:r w:rsidRPr="00935060">
              <w:rPr>
                <w:rFonts w:asciiTheme="minorHAnsi" w:hAnsiTheme="minorHAnsi"/>
              </w:rPr>
              <w:t>Rappresentanza e relazioni istituzionali esterne. Comunicazione, URP e Tipografia</w:t>
            </w:r>
          </w:p>
        </w:tc>
        <w:tc>
          <w:tcPr>
            <w:tcW w:w="1249" w:type="pct"/>
            <w:vAlign w:val="center"/>
          </w:tcPr>
          <w:p w:rsidR="008841D5" w:rsidRPr="00B21322" w:rsidRDefault="008841D5" w:rsidP="00C27A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Storno di risorse</w:t>
            </w:r>
            <w:r w:rsidR="00C27AC8">
              <w:rPr>
                <w:rFonts w:asciiTheme="minorHAnsi" w:hAnsiTheme="minorHAnsi"/>
              </w:rPr>
              <w:t xml:space="preserve"> eccedenti</w:t>
            </w:r>
            <w:r>
              <w:rPr>
                <w:rFonts w:asciiTheme="minorHAnsi" w:hAnsiTheme="minorHAnsi"/>
              </w:rPr>
              <w:t xml:space="preserve"> </w:t>
            </w:r>
            <w:r w:rsidR="00C27AC8">
              <w:rPr>
                <w:rFonts w:asciiTheme="minorHAnsi" w:hAnsiTheme="minorHAnsi"/>
              </w:rPr>
              <w:t>sul</w:t>
            </w:r>
            <w:r>
              <w:rPr>
                <w:rFonts w:asciiTheme="minorHAnsi" w:hAnsiTheme="minorHAnsi"/>
              </w:rPr>
              <w:t xml:space="preserve"> capitolo 10045</w:t>
            </w:r>
            <w:r w:rsidRPr="008841D5">
              <w:rPr>
                <w:rFonts w:asciiTheme="minorHAnsi" w:hAnsiTheme="minorHAnsi"/>
              </w:rPr>
              <w:t xml:space="preserve">  </w:t>
            </w:r>
          </w:p>
        </w:tc>
      </w:tr>
      <w:tr w:rsidR="00C27AC8" w:rsidRPr="00B21322" w:rsidTr="00935060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8841D5" w:rsidRPr="00B21322" w:rsidRDefault="008841D5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8841D5" w:rsidRPr="00B21322" w:rsidRDefault="008841D5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8841D5" w:rsidRPr="00B21322" w:rsidRDefault="008841D5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8841D5" w:rsidRPr="00B21322" w:rsidRDefault="008841D5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10178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:rsidR="008841D5" w:rsidRPr="008F375D" w:rsidRDefault="008841D5" w:rsidP="000D271C">
            <w:pPr>
              <w:jc w:val="center"/>
              <w:rPr>
                <w:rFonts w:asciiTheme="minorHAnsi" w:hAnsiTheme="minorHAnsi"/>
              </w:rPr>
            </w:pPr>
            <w:r w:rsidRPr="008F375D">
              <w:rPr>
                <w:rFonts w:asciiTheme="minorHAnsi" w:hAnsiTheme="minorHAnsi"/>
              </w:rPr>
              <w:t>AUTORITA' REGIONALE PER LA PARTECIPAZIONE-TRASFERIMENTI COMITATI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8841D5" w:rsidRPr="008841D5" w:rsidRDefault="008841D5" w:rsidP="008F375D">
            <w:pPr>
              <w:pStyle w:val="Paragrafoelenco"/>
              <w:ind w:left="199"/>
              <w:rPr>
                <w:rFonts w:asciiTheme="minorHAnsi" w:hAnsiTheme="minorHAnsi"/>
                <w:i/>
              </w:rPr>
            </w:pPr>
            <w:r w:rsidRPr="008841D5">
              <w:rPr>
                <w:rFonts w:asciiTheme="minorHAnsi" w:hAnsiTheme="minorHAnsi"/>
                <w:i/>
              </w:rPr>
              <w:t>-15.000,00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9" w:type="pct"/>
            <w:vAlign w:val="center"/>
          </w:tcPr>
          <w:p w:rsidR="008841D5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 w:rsidRPr="00935060">
              <w:rPr>
                <w:rFonts w:asciiTheme="minorHAnsi" w:hAnsiTheme="minorHAnsi"/>
              </w:rPr>
              <w:t>Analisi di fattibilità e per la valutazione delle politiche. Assistenza al Difensore civico, ai Garanti e all'Autorità per la partecipazione</w:t>
            </w:r>
          </w:p>
        </w:tc>
        <w:tc>
          <w:tcPr>
            <w:tcW w:w="1249" w:type="pct"/>
            <w:vAlign w:val="center"/>
          </w:tcPr>
          <w:p w:rsidR="008841D5" w:rsidRPr="00B21322" w:rsidRDefault="008841D5" w:rsidP="00C27A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Storno di risorse</w:t>
            </w:r>
            <w:r w:rsidR="00C27AC8">
              <w:rPr>
                <w:rFonts w:asciiTheme="minorHAnsi" w:hAnsiTheme="minorHAnsi"/>
              </w:rPr>
              <w:t xml:space="preserve"> eccedenti</w:t>
            </w:r>
            <w:r>
              <w:rPr>
                <w:rFonts w:asciiTheme="minorHAnsi" w:hAnsiTheme="minorHAnsi"/>
              </w:rPr>
              <w:t xml:space="preserve"> </w:t>
            </w:r>
            <w:r w:rsidR="00C27AC8">
              <w:rPr>
                <w:rFonts w:asciiTheme="minorHAnsi" w:hAnsiTheme="minorHAnsi"/>
              </w:rPr>
              <w:t>sul</w:t>
            </w:r>
            <w:r>
              <w:rPr>
                <w:rFonts w:asciiTheme="minorHAnsi" w:hAnsiTheme="minorHAnsi"/>
              </w:rPr>
              <w:t xml:space="preserve"> capitolo 10177</w:t>
            </w:r>
          </w:p>
        </w:tc>
      </w:tr>
      <w:tr w:rsidR="00C27AC8" w:rsidRPr="00B21322" w:rsidTr="00935060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99" w:type="pct"/>
            <w:shd w:val="clear" w:color="000000" w:fill="FFFFFF"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C27AC8" w:rsidRPr="00B21322" w:rsidRDefault="006E066C" w:rsidP="00FB1E29">
            <w:pPr>
              <w:pStyle w:val="Paragrafoelenco"/>
              <w:ind w:left="97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fldChar w:fldCharType="begin"/>
            </w:r>
            <w:r w:rsidR="00C27AC8">
              <w:rPr>
                <w:rFonts w:asciiTheme="minorHAnsi" w:hAnsiTheme="minorHAnsi"/>
                <w:b/>
                <w:i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i/>
              </w:rPr>
              <w:fldChar w:fldCharType="separate"/>
            </w:r>
            <w:r w:rsidR="00C27AC8">
              <w:rPr>
                <w:rFonts w:asciiTheme="minorHAnsi" w:hAnsiTheme="minorHAnsi"/>
                <w:b/>
                <w:i/>
                <w:noProof/>
              </w:rPr>
              <w:t>-20.393,86</w:t>
            </w:r>
            <w:r>
              <w:rPr>
                <w:rFonts w:asciiTheme="minorHAnsi" w:hAnsiTheme="minorHAnsi"/>
                <w:b/>
                <w:i/>
              </w:rPr>
              <w:fldChar w:fldCharType="end"/>
            </w:r>
            <w:r w:rsidR="00C27AC8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C27AC8" w:rsidRPr="00B21322" w:rsidRDefault="00C27AC8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C27AC8" w:rsidRPr="00B21322" w:rsidRDefault="00C27AC8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9" w:type="pct"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9" w:type="pct"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</w:tr>
      <w:tr w:rsidR="00935060" w:rsidRPr="00B21322" w:rsidTr="00935060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935060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935060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935060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935060" w:rsidRDefault="00935060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935060" w:rsidRDefault="00935060" w:rsidP="008841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10045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:rsidR="00935060" w:rsidRPr="008F375D" w:rsidRDefault="00935060" w:rsidP="00935060">
            <w:pPr>
              <w:jc w:val="center"/>
              <w:rPr>
                <w:rFonts w:asciiTheme="minorHAnsi" w:hAnsiTheme="minorHAnsi"/>
              </w:rPr>
            </w:pPr>
            <w:r w:rsidRPr="008841D5">
              <w:rPr>
                <w:rFonts w:asciiTheme="minorHAnsi" w:hAnsiTheme="minorHAnsi"/>
              </w:rPr>
              <w:t xml:space="preserve">FESTA DELLA TOSCANA </w:t>
            </w:r>
            <w:proofErr w:type="spellStart"/>
            <w:r w:rsidRPr="008841D5">
              <w:rPr>
                <w:rFonts w:asciiTheme="minorHAnsi" w:hAnsiTheme="minorHAnsi"/>
              </w:rPr>
              <w:t>L.R</w:t>
            </w:r>
            <w:proofErr w:type="spellEnd"/>
            <w:r w:rsidRPr="008841D5">
              <w:rPr>
                <w:rFonts w:asciiTheme="minorHAnsi" w:hAnsiTheme="minorHAnsi"/>
              </w:rPr>
              <w:t xml:space="preserve"> 46/2015 - COMPARTECIPAZIONI ENTI LOCALI ART 3 BIS </w:t>
            </w:r>
            <w:proofErr w:type="spellStart"/>
            <w:r w:rsidRPr="008841D5">
              <w:rPr>
                <w:rFonts w:asciiTheme="minorHAnsi" w:hAnsiTheme="minorHAnsi"/>
              </w:rPr>
              <w:t>L.R.</w:t>
            </w:r>
            <w:proofErr w:type="spellEnd"/>
            <w:r w:rsidRPr="008841D5">
              <w:rPr>
                <w:rFonts w:asciiTheme="minorHAnsi" w:hAnsiTheme="minorHAnsi"/>
              </w:rPr>
              <w:t xml:space="preserve"> 4/2009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935060" w:rsidRDefault="00935060" w:rsidP="000D271C">
            <w:pPr>
              <w:jc w:val="center"/>
              <w:rPr>
                <w:rFonts w:asciiTheme="minorHAnsi" w:hAnsiTheme="minorHAnsi"/>
              </w:rPr>
            </w:pPr>
            <w:r w:rsidRPr="008841D5">
              <w:rPr>
                <w:rFonts w:asciiTheme="minorHAnsi" w:hAnsiTheme="minorHAnsi"/>
              </w:rPr>
              <w:t>5.393,86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9" w:type="pct"/>
            <w:vAlign w:val="center"/>
          </w:tcPr>
          <w:p w:rsidR="00935060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 w:rsidRPr="00935060">
              <w:rPr>
                <w:rFonts w:asciiTheme="minorHAnsi" w:hAnsiTheme="minorHAnsi"/>
              </w:rPr>
              <w:t>Rappresentanza e relazioni istituzionali esterne. Comunicazione, URP e Tipografia</w:t>
            </w:r>
          </w:p>
        </w:tc>
        <w:tc>
          <w:tcPr>
            <w:tcW w:w="1249" w:type="pct"/>
            <w:vAlign w:val="center"/>
          </w:tcPr>
          <w:p w:rsidR="00935060" w:rsidRPr="008F375D" w:rsidRDefault="00935060" w:rsidP="00282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L’integrazione</w:t>
            </w:r>
            <w:r w:rsidRPr="008841D5">
              <w:rPr>
                <w:rFonts w:asciiTheme="minorHAnsi" w:hAnsiTheme="minorHAnsi"/>
              </w:rPr>
              <w:t xml:space="preserve"> è motivat</w:t>
            </w:r>
            <w:r>
              <w:rPr>
                <w:rFonts w:asciiTheme="minorHAnsi" w:hAnsiTheme="minorHAnsi"/>
              </w:rPr>
              <w:t>a</w:t>
            </w:r>
            <w:r w:rsidRPr="008841D5">
              <w:rPr>
                <w:rFonts w:asciiTheme="minorHAnsi" w:hAnsiTheme="minorHAnsi"/>
              </w:rPr>
              <w:t xml:space="preserve"> dalla necessità di trasferire risorse per euro 5.393,86 dal cap</w:t>
            </w:r>
            <w:r>
              <w:rPr>
                <w:rFonts w:asciiTheme="minorHAnsi" w:hAnsiTheme="minorHAnsi"/>
              </w:rPr>
              <w:t>.</w:t>
            </w:r>
            <w:r w:rsidRPr="008841D5">
              <w:rPr>
                <w:rFonts w:asciiTheme="minorHAnsi" w:hAnsiTheme="minorHAnsi"/>
              </w:rPr>
              <w:t xml:space="preserve"> 10359 al cap</w:t>
            </w:r>
            <w:r>
              <w:rPr>
                <w:rFonts w:asciiTheme="minorHAnsi" w:hAnsiTheme="minorHAnsi"/>
              </w:rPr>
              <w:t>.</w:t>
            </w:r>
            <w:r w:rsidRPr="008841D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10045</w:t>
            </w:r>
            <w:r w:rsidRPr="008841D5">
              <w:rPr>
                <w:rFonts w:asciiTheme="minorHAnsi" w:hAnsiTheme="minorHAnsi"/>
              </w:rPr>
              <w:t xml:space="preserve"> corrispondenti all'impegno di spesa  n. 2307/2019 assunto a favore del Comune di Siena, destinatario di un  contributo di pari importo nell'ambito della Festa della Toscana 2018, erroneamente mandato in economia</w:t>
            </w:r>
            <w:r>
              <w:rPr>
                <w:rFonts w:asciiTheme="minorHAnsi" w:hAnsiTheme="minorHAnsi"/>
              </w:rPr>
              <w:t xml:space="preserve"> nell’anno 2019</w:t>
            </w:r>
            <w:r w:rsidRPr="008841D5">
              <w:rPr>
                <w:rFonts w:asciiTheme="minorHAnsi" w:hAnsiTheme="minorHAnsi"/>
              </w:rPr>
              <w:t xml:space="preserve"> </w:t>
            </w:r>
          </w:p>
        </w:tc>
      </w:tr>
      <w:tr w:rsidR="00935060" w:rsidRPr="00B21322" w:rsidTr="00935060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935060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10177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:rsidR="00935060" w:rsidRPr="008F375D" w:rsidRDefault="00935060" w:rsidP="00935060">
            <w:pPr>
              <w:jc w:val="center"/>
              <w:rPr>
                <w:rFonts w:asciiTheme="minorHAnsi" w:hAnsiTheme="minorHAnsi"/>
              </w:rPr>
            </w:pPr>
            <w:r w:rsidRPr="008F375D">
              <w:rPr>
                <w:rFonts w:asciiTheme="minorHAnsi" w:hAnsiTheme="minorHAnsi"/>
              </w:rPr>
              <w:t>AUTORITA' REGIONALE PER LA PARTECIPAZIONE - TRASFERIMENTI AD AMMINISTRAZIONE LOCALI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15.000,00</w:t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935060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935060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9" w:type="pct"/>
            <w:vAlign w:val="center"/>
          </w:tcPr>
          <w:p w:rsidR="00935060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 w:rsidRPr="00935060">
              <w:rPr>
                <w:rFonts w:asciiTheme="minorHAnsi" w:hAnsiTheme="minorHAnsi"/>
              </w:rPr>
              <w:t>Analisi di fattibilità e per la valutazione delle politiche. Assistenza al Difensore civico, ai Garanti e all'Autorità per la partecipazione</w:t>
            </w:r>
          </w:p>
        </w:tc>
        <w:tc>
          <w:tcPr>
            <w:tcW w:w="1249" w:type="pct"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  <w:r w:rsidRPr="008F375D">
              <w:rPr>
                <w:rFonts w:asciiTheme="minorHAnsi" w:hAnsiTheme="minorHAnsi"/>
              </w:rPr>
              <w:t>La variazione</w:t>
            </w:r>
            <w:r>
              <w:rPr>
                <w:rFonts w:asciiTheme="minorHAnsi" w:hAnsiTheme="minorHAnsi"/>
              </w:rPr>
              <w:t xml:space="preserve"> </w:t>
            </w:r>
            <w:r w:rsidRPr="008F375D">
              <w:rPr>
                <w:rFonts w:asciiTheme="minorHAnsi" w:hAnsiTheme="minorHAnsi"/>
              </w:rPr>
              <w:t xml:space="preserve"> si rende necessaria in quanto, nel corso dell'istruttoria dell'A</w:t>
            </w:r>
            <w:r>
              <w:rPr>
                <w:rFonts w:asciiTheme="minorHAnsi" w:hAnsiTheme="minorHAnsi"/>
              </w:rPr>
              <w:t>utorità per la partecipazione</w:t>
            </w:r>
            <w:r w:rsidRPr="008F375D">
              <w:rPr>
                <w:rFonts w:asciiTheme="minorHAnsi" w:hAnsiTheme="minorHAnsi"/>
              </w:rPr>
              <w:t xml:space="preserve"> circa i progetti presentati alla scadenza del 30 giugno 2020, si è rilevata una carenza di risorse</w:t>
            </w:r>
            <w:bookmarkStart w:id="0" w:name="_GoBack"/>
            <w:bookmarkEnd w:id="0"/>
            <w:r w:rsidRPr="008F375D">
              <w:rPr>
                <w:rFonts w:asciiTheme="minorHAnsi" w:hAnsiTheme="minorHAnsi"/>
              </w:rPr>
              <w:t xml:space="preserve"> finanziarie per l'assegnazione dei contributi per i processi partecipativi presentati da enti locali, mentre esse risultano eccedenti per i processi partecipativi presentati da cittadini e associazioni (nessun progetto presentato)</w:t>
            </w:r>
          </w:p>
        </w:tc>
      </w:tr>
      <w:tr w:rsidR="00935060" w:rsidRPr="00B21322" w:rsidTr="00935060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99" w:type="pct"/>
            <w:shd w:val="clear" w:color="000000" w:fill="FFFFFF"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935060" w:rsidRPr="00B21322" w:rsidRDefault="00935060" w:rsidP="00C27AC8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fldChar w:fldCharType="begin"/>
            </w:r>
            <w:r>
              <w:rPr>
                <w:rFonts w:asciiTheme="minorHAnsi" w:hAnsiTheme="minorHAnsi"/>
                <w:b/>
                <w:i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i/>
              </w:rPr>
              <w:fldChar w:fldCharType="separate"/>
            </w:r>
            <w:r>
              <w:rPr>
                <w:rFonts w:asciiTheme="minorHAnsi" w:hAnsiTheme="minorHAnsi"/>
                <w:b/>
                <w:i/>
                <w:noProof/>
              </w:rPr>
              <w:t>20.393,86</w:t>
            </w:r>
            <w:r>
              <w:rPr>
                <w:rFonts w:asciiTheme="minorHAnsi" w:hAnsiTheme="minorHAnsi"/>
                <w:b/>
                <w:i/>
              </w:rPr>
              <w:fldChar w:fldCharType="end"/>
            </w:r>
          </w:p>
        </w:tc>
        <w:tc>
          <w:tcPr>
            <w:tcW w:w="321" w:type="pct"/>
            <w:shd w:val="clear" w:color="000000" w:fill="FFFFFF"/>
            <w:noWrap/>
            <w:vAlign w:val="center"/>
          </w:tcPr>
          <w:p w:rsidR="00935060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935060" w:rsidRPr="00B21322" w:rsidRDefault="00935060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9" w:type="pct"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9" w:type="pct"/>
            <w:vAlign w:val="center"/>
          </w:tcPr>
          <w:p w:rsidR="00935060" w:rsidRPr="00B21322" w:rsidRDefault="00935060" w:rsidP="000D271C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041C62" w:rsidRDefault="00041C62" w:rsidP="00B44518">
      <w:pPr>
        <w:jc w:val="center"/>
        <w:rPr>
          <w:rFonts w:asciiTheme="minorHAnsi" w:hAnsiTheme="minorHAnsi"/>
          <w:b/>
        </w:rPr>
      </w:pPr>
    </w:p>
    <w:p w:rsidR="00041C62" w:rsidRPr="00B21322" w:rsidRDefault="00041C62" w:rsidP="00B44518">
      <w:pPr>
        <w:jc w:val="center"/>
        <w:rPr>
          <w:rFonts w:asciiTheme="minorHAnsi" w:hAnsiTheme="minorHAnsi"/>
          <w:b/>
        </w:rPr>
      </w:pPr>
    </w:p>
    <w:p w:rsidR="0098545F" w:rsidRDefault="00E66B3C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</w:rPr>
        <w:t xml:space="preserve"> </w:t>
      </w:r>
    </w:p>
    <w:sectPr w:rsidR="0098545F" w:rsidSect="00CA0210">
      <w:footerReference w:type="default" r:id="rId9"/>
      <w:pgSz w:w="23814" w:h="16839" w:orient="landscape" w:code="8"/>
      <w:pgMar w:top="851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60" w:rsidRPr="004E27FB" w:rsidRDefault="00935060">
      <w:r w:rsidRPr="004E27FB">
        <w:separator/>
      </w:r>
    </w:p>
  </w:endnote>
  <w:endnote w:type="continuationSeparator" w:id="0">
    <w:p w:rsidR="00935060" w:rsidRPr="004E27FB" w:rsidRDefault="00935060">
      <w:r w:rsidRPr="004E27F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40002FF" w:usb1="5200F1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60" w:rsidRPr="006C080D" w:rsidRDefault="00935060">
    <w:pPr>
      <w:pStyle w:val="Pidipagina"/>
      <w:jc w:val="center"/>
    </w:pPr>
    <w:fldSimple w:instr="PAGE   \* MERGEFORMAT">
      <w:r w:rsidR="00A450DB">
        <w:rPr>
          <w:noProof/>
        </w:rPr>
        <w:t>2</w:t>
      </w:r>
    </w:fldSimple>
  </w:p>
  <w:p w:rsidR="00935060" w:rsidRDefault="0093506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60" w:rsidRPr="004E27FB" w:rsidRDefault="00935060">
      <w:r w:rsidRPr="004E27FB">
        <w:separator/>
      </w:r>
    </w:p>
  </w:footnote>
  <w:footnote w:type="continuationSeparator" w:id="0">
    <w:p w:rsidR="00935060" w:rsidRPr="004E27FB" w:rsidRDefault="00935060">
      <w:r w:rsidRPr="004E27FB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2FB4199"/>
    <w:multiLevelType w:val="hybridMultilevel"/>
    <w:tmpl w:val="55D2CF7C"/>
    <w:lvl w:ilvl="0" w:tplc="CF2EBF32">
      <w:numFmt w:val="bullet"/>
      <w:lvlText w:val="-"/>
      <w:lvlJc w:val="left"/>
      <w:pPr>
        <w:ind w:left="139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>
    <w:nsid w:val="25CD5E89"/>
    <w:multiLevelType w:val="hybridMultilevel"/>
    <w:tmpl w:val="14462AA0"/>
    <w:lvl w:ilvl="0" w:tplc="DE562956">
      <w:start w:val="13"/>
      <w:numFmt w:val="bullet"/>
      <w:lvlText w:val="-"/>
      <w:lvlJc w:val="left"/>
      <w:pPr>
        <w:ind w:left="45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0">
    <w:nsid w:val="29CE76B6"/>
    <w:multiLevelType w:val="hybridMultilevel"/>
    <w:tmpl w:val="B5E0CA80"/>
    <w:lvl w:ilvl="0" w:tplc="8BAA9482">
      <w:start w:val="1"/>
      <w:numFmt w:val="bullet"/>
      <w:lvlText w:val="﷐"/>
      <w:lvlJc w:val="left"/>
      <w:pPr>
        <w:ind w:left="11265" w:hanging="10905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8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BC4894"/>
    <w:multiLevelType w:val="hybridMultilevel"/>
    <w:tmpl w:val="33E41EAE"/>
    <w:lvl w:ilvl="0" w:tplc="9078DAC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5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2"/>
  </w:num>
  <w:num w:numId="2">
    <w:abstractNumId w:val="35"/>
  </w:num>
  <w:num w:numId="3">
    <w:abstractNumId w:val="6"/>
  </w:num>
  <w:num w:numId="4">
    <w:abstractNumId w:val="32"/>
  </w:num>
  <w:num w:numId="5">
    <w:abstractNumId w:val="11"/>
  </w:num>
  <w:num w:numId="6">
    <w:abstractNumId w:val="4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25"/>
  </w:num>
  <w:num w:numId="11">
    <w:abstractNumId w:val="1"/>
  </w:num>
  <w:num w:numId="12">
    <w:abstractNumId w:val="31"/>
  </w:num>
  <w:num w:numId="13">
    <w:abstractNumId w:val="5"/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8"/>
  </w:num>
  <w:num w:numId="18">
    <w:abstractNumId w:val="4"/>
  </w:num>
  <w:num w:numId="19">
    <w:abstractNumId w:val="21"/>
  </w:num>
  <w:num w:numId="20">
    <w:abstractNumId w:val="3"/>
  </w:num>
  <w:num w:numId="21">
    <w:abstractNumId w:val="0"/>
  </w:num>
  <w:num w:numId="22">
    <w:abstractNumId w:val="2"/>
  </w:num>
  <w:num w:numId="23">
    <w:abstractNumId w:val="23"/>
  </w:num>
  <w:num w:numId="24">
    <w:abstractNumId w:val="30"/>
  </w:num>
  <w:num w:numId="25">
    <w:abstractNumId w:val="12"/>
  </w:num>
  <w:num w:numId="26">
    <w:abstractNumId w:val="24"/>
  </w:num>
  <w:num w:numId="27">
    <w:abstractNumId w:val="19"/>
  </w:num>
  <w:num w:numId="28">
    <w:abstractNumId w:val="27"/>
  </w:num>
  <w:num w:numId="29">
    <w:abstractNumId w:val="16"/>
  </w:num>
  <w:num w:numId="30">
    <w:abstractNumId w:val="18"/>
  </w:num>
  <w:num w:numId="31">
    <w:abstractNumId w:val="14"/>
  </w:num>
  <w:num w:numId="32">
    <w:abstractNumId w:val="20"/>
  </w:num>
  <w:num w:numId="33">
    <w:abstractNumId w:val="29"/>
  </w:num>
  <w:num w:numId="34">
    <w:abstractNumId w:val="34"/>
  </w:num>
  <w:num w:numId="35">
    <w:abstractNumId w:val="8"/>
  </w:num>
  <w:num w:numId="36">
    <w:abstractNumId w:val="10"/>
  </w:num>
  <w:num w:numId="37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78C"/>
    <w:rsid w:val="000309B3"/>
    <w:rsid w:val="00031D8D"/>
    <w:rsid w:val="000333AA"/>
    <w:rsid w:val="000334BF"/>
    <w:rsid w:val="00033875"/>
    <w:rsid w:val="00033A27"/>
    <w:rsid w:val="00033E84"/>
    <w:rsid w:val="000346FE"/>
    <w:rsid w:val="00034849"/>
    <w:rsid w:val="00035934"/>
    <w:rsid w:val="000361CC"/>
    <w:rsid w:val="000362DE"/>
    <w:rsid w:val="00036CA5"/>
    <w:rsid w:val="000375E1"/>
    <w:rsid w:val="000378D4"/>
    <w:rsid w:val="00037DEA"/>
    <w:rsid w:val="00041C62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71C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E70E3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069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5FD8"/>
    <w:rsid w:val="001364BB"/>
    <w:rsid w:val="00136A9C"/>
    <w:rsid w:val="00137B7F"/>
    <w:rsid w:val="00143E3A"/>
    <w:rsid w:val="0014418E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A69ED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4AD7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46E74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96F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4A8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C6B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33D1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717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8C7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0C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397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432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66E9"/>
    <w:rsid w:val="005F7493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47990"/>
    <w:rsid w:val="006500E3"/>
    <w:rsid w:val="006517EB"/>
    <w:rsid w:val="00651BCB"/>
    <w:rsid w:val="0065388C"/>
    <w:rsid w:val="00654659"/>
    <w:rsid w:val="006547F2"/>
    <w:rsid w:val="006549BB"/>
    <w:rsid w:val="00655C13"/>
    <w:rsid w:val="00655D2D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1123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66C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3764D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3FD1"/>
    <w:rsid w:val="007544B2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C7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2D21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2F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5251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19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1D5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D7E3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278C"/>
    <w:rsid w:val="008F375D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060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45F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D0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2F2E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50DB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0D83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577"/>
    <w:rsid w:val="00B019F8"/>
    <w:rsid w:val="00B021C1"/>
    <w:rsid w:val="00B0277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474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22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D9F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2FC1"/>
    <w:rsid w:val="00B4332E"/>
    <w:rsid w:val="00B44518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32B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3F28"/>
    <w:rsid w:val="00BB446D"/>
    <w:rsid w:val="00BB4651"/>
    <w:rsid w:val="00BB5A51"/>
    <w:rsid w:val="00BB5A62"/>
    <w:rsid w:val="00BB7AE4"/>
    <w:rsid w:val="00BB7F46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B9B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148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DB8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11E"/>
    <w:rsid w:val="00C27AC8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210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07F7E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301C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2803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A1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3F33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1886"/>
    <w:rsid w:val="00E0249D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34FE"/>
    <w:rsid w:val="00E64354"/>
    <w:rsid w:val="00E6584B"/>
    <w:rsid w:val="00E65A10"/>
    <w:rsid w:val="00E66B3C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5497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5FD5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470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022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A634B"/>
    <w:rsid w:val="00FB0EE3"/>
    <w:rsid w:val="00FB116E"/>
    <w:rsid w:val="00FB19E3"/>
    <w:rsid w:val="00FB1E29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del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BFC11-EF8D-48A2-BE5C-87A86A09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499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3589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s.pini</cp:lastModifiedBy>
  <cp:revision>110</cp:revision>
  <cp:lastPrinted>2019-06-18T09:50:00Z</cp:lastPrinted>
  <dcterms:created xsi:type="dcterms:W3CDTF">2018-09-10T08:11:00Z</dcterms:created>
  <dcterms:modified xsi:type="dcterms:W3CDTF">2020-07-23T13:41:00Z</dcterms:modified>
</cp:coreProperties>
</file>